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1669B9" w14:paraId="7E2D1B93" w14:textId="77777777" w:rsidTr="00026BAE">
        <w:tc>
          <w:tcPr>
            <w:tcW w:w="14622" w:type="dxa"/>
            <w:gridSpan w:val="2"/>
            <w:shd w:val="clear" w:color="auto" w:fill="A6CE39"/>
          </w:tcPr>
          <w:p w14:paraId="7FDA8BAB" w14:textId="1CDF211A" w:rsidR="001669B9" w:rsidRDefault="00B61374" w:rsidP="006167A0">
            <w:pPr>
              <w:jc w:val="center"/>
              <w:rPr>
                <w:bCs/>
              </w:rPr>
            </w:pPr>
            <w:r>
              <w:rPr>
                <w:rFonts w:cstheme="minorHAnsi"/>
                <w:b/>
                <w:bCs/>
                <w:sz w:val="28"/>
                <w:szCs w:val="28"/>
              </w:rPr>
              <w:t>GENDER INTEGRATION GUIDANCE</w:t>
            </w:r>
            <w:r w:rsidR="001669B9" w:rsidRPr="00FD7AFA">
              <w:rPr>
                <w:rFonts w:cstheme="minorHAnsi"/>
                <w:b/>
                <w:bCs/>
                <w:sz w:val="28"/>
                <w:szCs w:val="28"/>
              </w:rPr>
              <w:t xml:space="preserve">: </w:t>
            </w:r>
            <w:r>
              <w:rPr>
                <w:rFonts w:cstheme="minorHAnsi"/>
                <w:b/>
                <w:bCs/>
                <w:sz w:val="28"/>
                <w:szCs w:val="28"/>
              </w:rPr>
              <w:t>NEEDS ASSESSMENT</w:t>
            </w:r>
          </w:p>
        </w:tc>
      </w:tr>
      <w:tr w:rsidR="007B542B" w14:paraId="537ED3AF" w14:textId="77777777" w:rsidTr="00026BAE">
        <w:tc>
          <w:tcPr>
            <w:tcW w:w="2249" w:type="dxa"/>
            <w:shd w:val="clear" w:color="auto" w:fill="404040" w:themeFill="text1" w:themeFillTint="BF"/>
            <w:vAlign w:val="center"/>
          </w:tcPr>
          <w:p w14:paraId="2387D6C2" w14:textId="6E2B63CE" w:rsidR="007B542B" w:rsidRPr="00800148" w:rsidRDefault="00B61374" w:rsidP="00107E50">
            <w:bookmarkStart w:id="0" w:name="OLE_LINK1"/>
            <w:r w:rsidRPr="00B61374">
              <w:rPr>
                <w:rFonts w:ascii="Franklin Gothic Demi" w:hAnsi="Franklin Gothic Demi"/>
                <w:color w:val="FFFFFF" w:themeColor="background1"/>
              </w:rPr>
              <w:t>Why address gender issues at this stage?</w:t>
            </w:r>
          </w:p>
        </w:tc>
        <w:tc>
          <w:tcPr>
            <w:tcW w:w="12373" w:type="dxa"/>
          </w:tcPr>
          <w:p w14:paraId="0300DF30" w14:textId="0F97FCF8" w:rsidR="007B542B" w:rsidRPr="00A8683A" w:rsidRDefault="00B61374" w:rsidP="00B61374">
            <w:r w:rsidRPr="00B61374">
              <w:t>Addressing gender issues at the needs assessment stage allows you to capture the needs and interests of different groups of people. This information will allow you to better understand what the problems to address are, their causes, and how different groups of people are affected in different ways by them.</w:t>
            </w:r>
          </w:p>
        </w:tc>
      </w:tr>
      <w:tr w:rsidR="007B542B" w14:paraId="07376AC1" w14:textId="77777777" w:rsidTr="00026BAE">
        <w:tc>
          <w:tcPr>
            <w:tcW w:w="2249" w:type="dxa"/>
            <w:shd w:val="clear" w:color="auto" w:fill="404040" w:themeFill="text1" w:themeFillTint="BF"/>
            <w:vAlign w:val="center"/>
          </w:tcPr>
          <w:p w14:paraId="438BB09A" w14:textId="2F0249BF" w:rsidR="007B542B" w:rsidRPr="00800148" w:rsidRDefault="00B61374" w:rsidP="00107E50">
            <w:r w:rsidRPr="00B61374">
              <w:rPr>
                <w:rFonts w:ascii="Franklin Gothic Demi" w:hAnsi="Franklin Gothic Demi"/>
                <w:color w:val="FFFFFF" w:themeColor="background1"/>
              </w:rPr>
              <w:t>Objective of addressing gender issues</w:t>
            </w:r>
          </w:p>
        </w:tc>
        <w:tc>
          <w:tcPr>
            <w:tcW w:w="12373" w:type="dxa"/>
          </w:tcPr>
          <w:p w14:paraId="1B36C216" w14:textId="77777777" w:rsidR="00B61374" w:rsidRPr="00B61374" w:rsidRDefault="00B61374" w:rsidP="00FC7397">
            <w:pPr>
              <w:pStyle w:val="ListParagraph"/>
              <w:numPr>
                <w:ilvl w:val="0"/>
                <w:numId w:val="1"/>
              </w:numPr>
            </w:pPr>
            <w:r w:rsidRPr="00B61374">
              <w:t>To understand the social dynamics in the community, region, or country in which a project will be implemented</w:t>
            </w:r>
          </w:p>
          <w:p w14:paraId="7FDE1E25" w14:textId="43FBB7B7" w:rsidR="009D0D81" w:rsidRPr="00B61374" w:rsidRDefault="00B61374" w:rsidP="00FC7397">
            <w:pPr>
              <w:pStyle w:val="ListParagraph"/>
              <w:numPr>
                <w:ilvl w:val="0"/>
                <w:numId w:val="1"/>
              </w:numPr>
            </w:pPr>
            <w:r w:rsidRPr="00B61374">
              <w:t>To identify the differing interests and needs of groups of people, e.g., men, women, girls, and boys</w:t>
            </w:r>
          </w:p>
        </w:tc>
      </w:tr>
      <w:tr w:rsidR="007B542B" w14:paraId="332D92E4" w14:textId="77777777" w:rsidTr="00026BAE">
        <w:tc>
          <w:tcPr>
            <w:tcW w:w="2249" w:type="dxa"/>
            <w:shd w:val="clear" w:color="auto" w:fill="404040" w:themeFill="text1" w:themeFillTint="BF"/>
            <w:vAlign w:val="center"/>
          </w:tcPr>
          <w:p w14:paraId="74072495" w14:textId="5A706C12" w:rsidR="007B542B" w:rsidRPr="00800148" w:rsidRDefault="007B542B" w:rsidP="00107E50">
            <w:pPr>
              <w:rPr>
                <w:rFonts w:ascii="Franklin Gothic Demi" w:hAnsi="Franklin Gothic Demi"/>
                <w:color w:val="FFFFFF" w:themeColor="background1"/>
              </w:rPr>
            </w:pPr>
            <w:r w:rsidRPr="00800148">
              <w:br w:type="page"/>
            </w:r>
            <w:r w:rsidR="00B61374" w:rsidRPr="00B61374">
              <w:rPr>
                <w:rFonts w:ascii="Franklin Gothic Demi" w:hAnsi="Franklin Gothic Demi"/>
                <w:color w:val="FFFFFF" w:themeColor="background1"/>
              </w:rPr>
              <w:t>How to address gender issues</w:t>
            </w:r>
          </w:p>
        </w:tc>
        <w:tc>
          <w:tcPr>
            <w:tcW w:w="12373" w:type="dxa"/>
          </w:tcPr>
          <w:p w14:paraId="29FAE97F" w14:textId="77777777" w:rsidR="003D5642" w:rsidRPr="003D5642" w:rsidRDefault="003D5642" w:rsidP="003D5642">
            <w:r w:rsidRPr="003D5642">
              <w:rPr>
                <w:b/>
              </w:rPr>
              <w:t xml:space="preserve">Consult secondary data sources on gender issues in the targeted area and/or sector, </w:t>
            </w:r>
            <w:r w:rsidRPr="003D5642">
              <w:t xml:space="preserve">found for example in national statistics and reports, and gender analyses from other projects and donors. </w:t>
            </w:r>
          </w:p>
          <w:p w14:paraId="7A2D1C6D" w14:textId="77777777" w:rsidR="003D5642" w:rsidRDefault="003D5642" w:rsidP="003D5642">
            <w:r>
              <w:t xml:space="preserve">Consult secondary data sources on gender issues in the targeted area and/or sector, found for example in national statistics and reports, and gender analyses from other projects and donors. </w:t>
            </w:r>
          </w:p>
          <w:p w14:paraId="2FA88805" w14:textId="77777777" w:rsidR="003D5642" w:rsidRDefault="003D5642" w:rsidP="003D5642"/>
          <w:p w14:paraId="6F76FC8F" w14:textId="77777777" w:rsidR="003D5642" w:rsidRPr="003D5642" w:rsidRDefault="003D5642" w:rsidP="003D5642">
            <w:pPr>
              <w:rPr>
                <w:i/>
              </w:rPr>
            </w:pPr>
            <w:r w:rsidRPr="003D5642">
              <w:rPr>
                <w:i/>
              </w:rPr>
              <w:t>For more information about secondary sources see the gender-related resources document.</w:t>
            </w:r>
          </w:p>
          <w:p w14:paraId="42C3E47F" w14:textId="77777777" w:rsidR="003D5642" w:rsidRDefault="003D5642" w:rsidP="003D5642"/>
          <w:p w14:paraId="7021C15D" w14:textId="77777777" w:rsidR="003D5642" w:rsidRDefault="003D5642" w:rsidP="003D5642">
            <w:r>
              <w:t>C</w:t>
            </w:r>
            <w:r w:rsidRPr="003D5642">
              <w:rPr>
                <w:b/>
              </w:rPr>
              <w:t xml:space="preserve">onduct primary data collection in the target area from men, women, girls, and boys. </w:t>
            </w:r>
            <w:r>
              <w:t xml:space="preserve">Individual, group and key informant interviews can all be used to collect primary data. </w:t>
            </w:r>
          </w:p>
          <w:p w14:paraId="5A03F5D5" w14:textId="77777777" w:rsidR="003D5642" w:rsidRDefault="003D5642" w:rsidP="003D5642"/>
          <w:p w14:paraId="64FADFB1" w14:textId="77777777" w:rsidR="003D5642" w:rsidRDefault="003D5642" w:rsidP="003D5642">
            <w:r>
              <w:t xml:space="preserve">We recommend you separate men and women for interviews where the objective is to capture differences between men and women. This allows you to more easily compare the responses from men and from women. If you want to understand the different constraints men and women face in participating in training, for example, it is helpful to interview them separately and then compare their response. Also, in some contexts, social norms restrict men and women from interacting together in public or they may feel uncomfortable expressing their ideas in front of others. </w:t>
            </w:r>
          </w:p>
          <w:p w14:paraId="0764780C" w14:textId="77777777" w:rsidR="003D5642" w:rsidRDefault="003D5642" w:rsidP="003D5642"/>
          <w:p w14:paraId="345E29AB" w14:textId="77777777" w:rsidR="003D5642" w:rsidRDefault="003D5642" w:rsidP="003D5642">
            <w:r>
              <w:t>It is, however, not always necessary to separate them. Some information, for example general information about the composition of communities or the composition of producer groups, can be gathered from mixed groups. Also, if you are interested in understanding how men and women interact with each other in public, you may wish to conduct a mixed-sex interview. Finally, you may wish to consider further disaggregation of groups where you want to understand the needs of groups of people based on other social characteristics, like age or ethnic group.</w:t>
            </w:r>
          </w:p>
          <w:p w14:paraId="1B715FA3" w14:textId="77777777" w:rsidR="003D5642" w:rsidRDefault="003D5642" w:rsidP="003D5642"/>
          <w:p w14:paraId="676EB3DF" w14:textId="77777777" w:rsidR="003D5642" w:rsidRPr="003D5642" w:rsidRDefault="003D5642" w:rsidP="003D5642">
            <w:pPr>
              <w:rPr>
                <w:b/>
              </w:rPr>
            </w:pPr>
            <w:r w:rsidRPr="003D5642">
              <w:rPr>
                <w:b/>
              </w:rPr>
              <w:t>Organizing and triangulating primary and secondary.</w:t>
            </w:r>
          </w:p>
          <w:p w14:paraId="351CF69C" w14:textId="75AE3196" w:rsidR="007B542B" w:rsidRPr="00A8683A" w:rsidRDefault="003D5642" w:rsidP="00FF5989">
            <w:r>
              <w:t xml:space="preserve">You should describe your process for gathering gender-related information in the Needs Assessment Planning Tool and Needs Assessment Triangulation Table. </w:t>
            </w:r>
          </w:p>
        </w:tc>
      </w:tr>
      <w:tr w:rsidR="007B542B" w14:paraId="55D50EF3" w14:textId="77777777" w:rsidTr="00026BAE">
        <w:tc>
          <w:tcPr>
            <w:tcW w:w="2249" w:type="dxa"/>
            <w:shd w:val="clear" w:color="auto" w:fill="404040" w:themeFill="text1" w:themeFillTint="BF"/>
            <w:vAlign w:val="center"/>
          </w:tcPr>
          <w:p w14:paraId="766914F5" w14:textId="7A7F60C5"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How to use the Gender Dimensions Framework</w:t>
            </w:r>
          </w:p>
        </w:tc>
        <w:tc>
          <w:tcPr>
            <w:tcW w:w="12373" w:type="dxa"/>
          </w:tcPr>
          <w:p w14:paraId="04CD94D8" w14:textId="77777777" w:rsidR="003D5642" w:rsidRPr="003D5642" w:rsidRDefault="003D5642" w:rsidP="003D5642">
            <w:pPr>
              <w:rPr>
                <w:b/>
              </w:rPr>
            </w:pPr>
            <w:r w:rsidRPr="003D5642">
              <w:rPr>
                <w:b/>
              </w:rPr>
              <w:t>To guide your secondary data collection.</w:t>
            </w:r>
          </w:p>
          <w:p w14:paraId="5DD3C2E9" w14:textId="77777777" w:rsidR="003D5642" w:rsidRDefault="003D5642" w:rsidP="003D5642">
            <w:r>
              <w:t>You can look for information about men and women in relation to the different dimensions as described below.</w:t>
            </w:r>
          </w:p>
          <w:p w14:paraId="1FE95770" w14:textId="77777777" w:rsidR="003D5642" w:rsidRDefault="003D5642" w:rsidP="003D5642"/>
          <w:p w14:paraId="55CC21A7" w14:textId="77777777" w:rsidR="003D5642" w:rsidRPr="003D5642" w:rsidRDefault="003D5642" w:rsidP="003D5642">
            <w:pPr>
              <w:rPr>
                <w:i/>
              </w:rPr>
            </w:pPr>
            <w:r w:rsidRPr="003D5642">
              <w:rPr>
                <w:i/>
              </w:rPr>
              <w:t xml:space="preserve">Practices and participation </w:t>
            </w:r>
          </w:p>
          <w:p w14:paraId="4EC1C32E" w14:textId="77777777" w:rsidR="003D5642" w:rsidRDefault="003D5642" w:rsidP="00FC7397">
            <w:pPr>
              <w:pStyle w:val="ListParagraph"/>
              <w:numPr>
                <w:ilvl w:val="0"/>
                <w:numId w:val="3"/>
              </w:numPr>
            </w:pPr>
            <w:r>
              <w:t>Women’s and men’s roles at different levels including the household, the community, and other groups or associations (what do people do)</w:t>
            </w:r>
          </w:p>
          <w:p w14:paraId="1D9073C5" w14:textId="77777777" w:rsidR="003D5642" w:rsidRDefault="003D5642" w:rsidP="00FC7397">
            <w:pPr>
              <w:pStyle w:val="ListParagraph"/>
              <w:numPr>
                <w:ilvl w:val="0"/>
                <w:numId w:val="3"/>
              </w:numPr>
            </w:pPr>
            <w:r>
              <w:t>Men’s and women’s on-farm activities and tasks related to different crops or livestock</w:t>
            </w:r>
          </w:p>
          <w:p w14:paraId="206CDD71" w14:textId="77777777" w:rsidR="003D5642" w:rsidRDefault="003D5642" w:rsidP="00FC7397">
            <w:pPr>
              <w:pStyle w:val="ListParagraph"/>
              <w:numPr>
                <w:ilvl w:val="0"/>
                <w:numId w:val="3"/>
              </w:numPr>
            </w:pPr>
            <w:r>
              <w:t>Women’s and men’s decision-making roles in households and communities</w:t>
            </w:r>
          </w:p>
          <w:p w14:paraId="537AE5A5" w14:textId="4C317546" w:rsidR="003D5642" w:rsidRDefault="003D5642" w:rsidP="00FC7397">
            <w:pPr>
              <w:pStyle w:val="ListParagraph"/>
              <w:numPr>
                <w:ilvl w:val="0"/>
                <w:numId w:val="3"/>
              </w:numPr>
            </w:pPr>
            <w:r>
              <w:t>Women’s and men’s needs and interests</w:t>
            </w:r>
          </w:p>
          <w:p w14:paraId="2CC8D5CA" w14:textId="77777777" w:rsidR="003D5642" w:rsidRDefault="003D5642" w:rsidP="003D5642"/>
          <w:p w14:paraId="2FBE80F9" w14:textId="77777777" w:rsidR="003D5642" w:rsidRPr="003D5642" w:rsidRDefault="003D5642" w:rsidP="003D5642">
            <w:pPr>
              <w:rPr>
                <w:i/>
              </w:rPr>
            </w:pPr>
            <w:r w:rsidRPr="003D5642">
              <w:rPr>
                <w:i/>
              </w:rPr>
              <w:t xml:space="preserve">Access to assets </w:t>
            </w:r>
          </w:p>
          <w:p w14:paraId="6EBE664C" w14:textId="4F69B53C" w:rsidR="003D5642" w:rsidRDefault="003D5642" w:rsidP="00FC7397">
            <w:pPr>
              <w:pStyle w:val="ListParagraph"/>
              <w:numPr>
                <w:ilvl w:val="0"/>
                <w:numId w:val="4"/>
              </w:numPr>
            </w:pPr>
            <w:r>
              <w:t>Women’s and men’s access to land and inputs</w:t>
            </w:r>
          </w:p>
          <w:p w14:paraId="2C69388A" w14:textId="57972BA8" w:rsidR="003D5642" w:rsidRDefault="003D5642" w:rsidP="00FC7397">
            <w:pPr>
              <w:pStyle w:val="ListParagraph"/>
              <w:numPr>
                <w:ilvl w:val="0"/>
                <w:numId w:val="4"/>
              </w:numPr>
            </w:pPr>
            <w:r>
              <w:t>Whether men or women meet the criteria to be a member of cooperatives or producer associations, savings and credit groups, self-help groups, etc.</w:t>
            </w:r>
          </w:p>
          <w:p w14:paraId="2133DDAE" w14:textId="77777777" w:rsidR="003D5642" w:rsidRDefault="003D5642" w:rsidP="00FC7397">
            <w:pPr>
              <w:pStyle w:val="ListParagraph"/>
              <w:numPr>
                <w:ilvl w:val="0"/>
                <w:numId w:val="4"/>
              </w:numPr>
            </w:pPr>
            <w:r>
              <w:t>Women’s and men’s access to education</w:t>
            </w:r>
          </w:p>
          <w:p w14:paraId="7E5A55EB" w14:textId="096C7792" w:rsidR="003D5642" w:rsidRDefault="003D5642" w:rsidP="00FC7397">
            <w:pPr>
              <w:pStyle w:val="ListParagraph"/>
              <w:numPr>
                <w:ilvl w:val="0"/>
                <w:numId w:val="4"/>
              </w:numPr>
            </w:pPr>
            <w:r>
              <w:t>Differences in women’s and men’s access to information from extension services, community leaders, or others</w:t>
            </w:r>
          </w:p>
          <w:p w14:paraId="6A9F22D6" w14:textId="77777777" w:rsidR="003D5642" w:rsidRDefault="003D5642" w:rsidP="003D5642"/>
          <w:p w14:paraId="25385C49" w14:textId="77777777" w:rsidR="003D5642" w:rsidRPr="003D5642" w:rsidRDefault="003D5642" w:rsidP="003D5642">
            <w:pPr>
              <w:rPr>
                <w:i/>
              </w:rPr>
            </w:pPr>
            <w:r w:rsidRPr="003D5642">
              <w:rPr>
                <w:i/>
              </w:rPr>
              <w:t>Beliefs and perceptions</w:t>
            </w:r>
          </w:p>
          <w:p w14:paraId="74C93AE8" w14:textId="77777777" w:rsidR="003D5642" w:rsidRDefault="003D5642" w:rsidP="00FC7397">
            <w:pPr>
              <w:pStyle w:val="ListParagraph"/>
              <w:numPr>
                <w:ilvl w:val="0"/>
                <w:numId w:val="5"/>
              </w:numPr>
            </w:pPr>
            <w:r>
              <w:t xml:space="preserve">Norms that prevent women or men from participating in association, village or community groups </w:t>
            </w:r>
          </w:p>
          <w:p w14:paraId="39F54F35" w14:textId="77777777" w:rsidR="003D5642" w:rsidRDefault="003D5642" w:rsidP="00FC7397">
            <w:pPr>
              <w:pStyle w:val="ListParagraph"/>
              <w:numPr>
                <w:ilvl w:val="0"/>
                <w:numId w:val="5"/>
              </w:numPr>
            </w:pPr>
            <w:r>
              <w:t>Beliefs about men or women that limit their access to resources and assets</w:t>
            </w:r>
          </w:p>
          <w:p w14:paraId="60F1353A" w14:textId="77777777" w:rsidR="003D5642" w:rsidRDefault="003D5642" w:rsidP="00FC7397">
            <w:pPr>
              <w:pStyle w:val="ListParagraph"/>
              <w:numPr>
                <w:ilvl w:val="0"/>
                <w:numId w:val="5"/>
              </w:numPr>
            </w:pPr>
            <w:r>
              <w:t>Beliefs about men or women that determine how far they can travel and who they can speak to</w:t>
            </w:r>
          </w:p>
          <w:p w14:paraId="0AE24B10" w14:textId="62CCAC0C" w:rsidR="003D5642" w:rsidRDefault="003D5642" w:rsidP="00FC7397">
            <w:pPr>
              <w:pStyle w:val="ListParagraph"/>
              <w:numPr>
                <w:ilvl w:val="0"/>
                <w:numId w:val="5"/>
              </w:numPr>
            </w:pPr>
            <w:r>
              <w:t xml:space="preserve">Beliefs about what tasks men or women can do or what crops they can grow </w:t>
            </w:r>
          </w:p>
          <w:p w14:paraId="2666542B" w14:textId="77777777" w:rsidR="003D5642" w:rsidRDefault="003D5642" w:rsidP="003D5642"/>
          <w:p w14:paraId="3EB7C7AB" w14:textId="77777777" w:rsidR="003D5642" w:rsidRPr="003D5642" w:rsidRDefault="003D5642" w:rsidP="003D5642">
            <w:pPr>
              <w:rPr>
                <w:i/>
              </w:rPr>
            </w:pPr>
            <w:r w:rsidRPr="003D5642">
              <w:rPr>
                <w:i/>
              </w:rPr>
              <w:t>Laws, policies, and institutions (LPI)</w:t>
            </w:r>
          </w:p>
          <w:p w14:paraId="1973F082" w14:textId="77777777" w:rsidR="003D5642" w:rsidRDefault="003D5642" w:rsidP="00FC7397">
            <w:pPr>
              <w:pStyle w:val="ListParagraph"/>
              <w:numPr>
                <w:ilvl w:val="0"/>
                <w:numId w:val="6"/>
              </w:numPr>
            </w:pPr>
            <w:r>
              <w:t>How laws, policies, and institutions establish (or not) an equitable environment for men and women</w:t>
            </w:r>
          </w:p>
          <w:p w14:paraId="1C0F4BB8" w14:textId="77777777" w:rsidR="003D5642" w:rsidRDefault="003D5642" w:rsidP="00FC7397">
            <w:pPr>
              <w:pStyle w:val="ListParagraph"/>
              <w:numPr>
                <w:ilvl w:val="0"/>
                <w:numId w:val="6"/>
              </w:numPr>
            </w:pPr>
            <w:r>
              <w:t>Difference between men, women, girls, and boys in who has the right to own or inherit different assets, and whether these rights change with marriage, birth, or death</w:t>
            </w:r>
          </w:p>
          <w:p w14:paraId="5919E3D1" w14:textId="2D0B0D70" w:rsidR="003D5642" w:rsidRDefault="003D5642" w:rsidP="00FC7397">
            <w:pPr>
              <w:pStyle w:val="ListParagraph"/>
              <w:numPr>
                <w:ilvl w:val="0"/>
                <w:numId w:val="6"/>
              </w:numPr>
            </w:pPr>
            <w:r>
              <w:t xml:space="preserve">The customary laws in the area and how these affect men’s and women’s access to resources </w:t>
            </w:r>
          </w:p>
          <w:p w14:paraId="5145A9A8" w14:textId="77777777" w:rsidR="003D5642" w:rsidRDefault="003D5642" w:rsidP="003D5642"/>
          <w:p w14:paraId="788A7EF9" w14:textId="77777777" w:rsidR="003D5642" w:rsidRPr="003D5642" w:rsidRDefault="003D5642" w:rsidP="003D5642">
            <w:pPr>
              <w:rPr>
                <w:b/>
              </w:rPr>
            </w:pPr>
            <w:r w:rsidRPr="003D5642">
              <w:rPr>
                <w:b/>
              </w:rPr>
              <w:t>To identify the types of questions you might use in your interviews.</w:t>
            </w:r>
          </w:p>
          <w:p w14:paraId="74361AB4" w14:textId="77777777" w:rsidR="003D5642" w:rsidRDefault="003D5642" w:rsidP="003D5642">
            <w:r>
              <w:t xml:space="preserve">The GDF provides you a sign post for what types of questions you can ask during a needs assessment. You can ask questions about people’s access to assets, what they do (practices and participation), what they believe, and the laws and policies that govern access to assets or membership into different organizations. The questions above provide some examples of different questions related to the GDF that might be useful. </w:t>
            </w:r>
          </w:p>
          <w:p w14:paraId="5AAB5C28" w14:textId="77777777" w:rsidR="003D5642" w:rsidRDefault="003D5642" w:rsidP="003D5642"/>
          <w:p w14:paraId="7AFB529A" w14:textId="77777777" w:rsidR="003D5642" w:rsidRPr="003D5642" w:rsidRDefault="003D5642" w:rsidP="003D5642">
            <w:pPr>
              <w:rPr>
                <w:b/>
              </w:rPr>
            </w:pPr>
            <w:r w:rsidRPr="003D5642">
              <w:rPr>
                <w:b/>
              </w:rPr>
              <w:t xml:space="preserve">To organize the </w:t>
            </w:r>
            <w:proofErr w:type="gramStart"/>
            <w:r w:rsidRPr="003D5642">
              <w:rPr>
                <w:b/>
              </w:rPr>
              <w:t>data</w:t>
            </w:r>
            <w:proofErr w:type="gramEnd"/>
            <w:r w:rsidRPr="003D5642">
              <w:rPr>
                <w:b/>
              </w:rPr>
              <w:t xml:space="preserve"> you collection.</w:t>
            </w:r>
          </w:p>
          <w:p w14:paraId="3855FCEE" w14:textId="0B487349" w:rsidR="007B542B" w:rsidRPr="00A8683A" w:rsidRDefault="003D5642" w:rsidP="00286B0E">
            <w:r>
              <w:lastRenderedPageBreak/>
              <w:t>When you have a critical mass of information about gender issues in your needs assessment, you can use Table 1 to organize the information. This organization allows you to compare the information you have about and from men with the information you have about and from women. You may begin to see differences that may be indications of problems that you can address when you design your project.</w:t>
            </w:r>
          </w:p>
        </w:tc>
      </w:tr>
      <w:tr w:rsidR="007B542B" w14:paraId="256FA1B8" w14:textId="77777777" w:rsidTr="00026BAE">
        <w:tc>
          <w:tcPr>
            <w:tcW w:w="2249" w:type="dxa"/>
            <w:shd w:val="clear" w:color="auto" w:fill="404040" w:themeFill="text1" w:themeFillTint="BF"/>
            <w:vAlign w:val="center"/>
          </w:tcPr>
          <w:p w14:paraId="69AB6DF8" w14:textId="5FDDFD42"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lastRenderedPageBreak/>
              <w:t>Checklist</w:t>
            </w:r>
          </w:p>
        </w:tc>
        <w:tc>
          <w:tcPr>
            <w:tcW w:w="12373" w:type="dxa"/>
          </w:tcPr>
          <w:p w14:paraId="7607D47C" w14:textId="75C5C1C6" w:rsidR="00914885" w:rsidRPr="00A8683A" w:rsidRDefault="003D5642" w:rsidP="00C1417F">
            <w:pPr>
              <w:pStyle w:val="ListParagraph"/>
              <w:numPr>
                <w:ilvl w:val="0"/>
                <w:numId w:val="8"/>
              </w:numPr>
            </w:pPr>
            <w:r w:rsidRPr="0027615D">
              <w:t>Have you collected data from all relevant subsets of the population (men, women, boys, girls; people of different ages, religions, vulnerabilities, wealth, ethnicities, etc.)?</w:t>
            </w:r>
          </w:p>
        </w:tc>
      </w:tr>
      <w:tr w:rsidR="007B542B" w14:paraId="62BA5C9E" w14:textId="77777777" w:rsidTr="00026BAE">
        <w:tc>
          <w:tcPr>
            <w:tcW w:w="2249" w:type="dxa"/>
            <w:shd w:val="clear" w:color="auto" w:fill="404040" w:themeFill="text1" w:themeFillTint="BF"/>
            <w:vAlign w:val="center"/>
          </w:tcPr>
          <w:p w14:paraId="469BCF4F" w14:textId="1DE7917E"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Where to find additional information</w:t>
            </w:r>
          </w:p>
        </w:tc>
        <w:tc>
          <w:tcPr>
            <w:tcW w:w="12373" w:type="dxa"/>
          </w:tcPr>
          <w:p w14:paraId="1100260D" w14:textId="77777777" w:rsidR="00C1417F" w:rsidRDefault="003D5642" w:rsidP="00C1417F">
            <w:pPr>
              <w:pStyle w:val="ListParagraph"/>
              <w:numPr>
                <w:ilvl w:val="0"/>
                <w:numId w:val="8"/>
              </w:numPr>
            </w:pPr>
            <w:r w:rsidRPr="003D5642">
              <w:t>USAID Promoting Gender Equitable Opportunities in Agricultural Value Chains: A Handbook</w:t>
            </w:r>
          </w:p>
          <w:p w14:paraId="184990EA" w14:textId="77777777" w:rsidR="00C1417F" w:rsidRDefault="003D5642" w:rsidP="00C1417F">
            <w:pPr>
              <w:pStyle w:val="ListParagraph"/>
              <w:numPr>
                <w:ilvl w:val="0"/>
                <w:numId w:val="8"/>
              </w:numPr>
            </w:pPr>
            <w:r w:rsidRPr="003D5642">
              <w:t>ACDI/VOCA’s Analysis, Assessment, and Audit Manual and Toolkit</w:t>
            </w:r>
          </w:p>
          <w:p w14:paraId="34B45A19" w14:textId="7D43420B" w:rsidR="003D5642" w:rsidRPr="00C1417F" w:rsidRDefault="003D5642" w:rsidP="00C1417F">
            <w:pPr>
              <w:pStyle w:val="ListParagraph"/>
              <w:numPr>
                <w:ilvl w:val="0"/>
                <w:numId w:val="8"/>
              </w:numPr>
              <w:rPr>
                <w:rStyle w:val="Hyperlink"/>
                <w:color w:val="auto"/>
                <w:u w:val="none"/>
              </w:rPr>
            </w:pPr>
            <w:r w:rsidRPr="003D5642">
              <w:t>FAO SEAGA’s Field Level Handbook</w:t>
            </w:r>
          </w:p>
          <w:p w14:paraId="5CBD3C2C" w14:textId="05F149E0" w:rsidR="00DA42FF" w:rsidRPr="00C62AB3" w:rsidRDefault="003D5642" w:rsidP="00FC7397">
            <w:pPr>
              <w:pStyle w:val="ListParagraph"/>
              <w:numPr>
                <w:ilvl w:val="1"/>
                <w:numId w:val="2"/>
              </w:numPr>
            </w:pPr>
            <w:r w:rsidRPr="003D5642">
              <w:t>CRS Southern Africa Guidelines for Gender-Responsive Programming</w:t>
            </w:r>
          </w:p>
        </w:tc>
      </w:tr>
      <w:bookmarkEnd w:id="0"/>
    </w:tbl>
    <w:p w14:paraId="6ABD4259" w14:textId="27BFEFDC" w:rsidR="00332D36" w:rsidRDefault="00332D36"/>
    <w:p w14:paraId="09619F85" w14:textId="77777777" w:rsidR="00332D36" w:rsidRDefault="00332D36">
      <w:r>
        <w:br w:type="page"/>
      </w:r>
    </w:p>
    <w:p w14:paraId="75645B50" w14:textId="77777777" w:rsidR="00332D36" w:rsidRPr="005C4BBB" w:rsidRDefault="00332D36" w:rsidP="00332D36">
      <w:pPr>
        <w:keepNext/>
        <w:spacing w:line="240" w:lineRule="auto"/>
        <w:rPr>
          <w:rFonts w:ascii="Calibri" w:eastAsia="Times New Roman" w:hAnsi="Calibri" w:cs="Cordia New"/>
          <w:b/>
          <w:bCs/>
          <w:color w:val="5B9BD5"/>
          <w:sz w:val="18"/>
          <w:szCs w:val="18"/>
        </w:rPr>
      </w:pPr>
      <w:bookmarkStart w:id="1" w:name="_Ref432772958"/>
      <w:r w:rsidRPr="005C4BBB">
        <w:rPr>
          <w:rFonts w:ascii="Calibri" w:eastAsia="Times New Roman" w:hAnsi="Calibri" w:cs="Cordia New"/>
          <w:b/>
          <w:bCs/>
          <w:color w:val="5B9BD5"/>
          <w:sz w:val="18"/>
          <w:szCs w:val="18"/>
        </w:rPr>
        <w:lastRenderedPageBreak/>
        <w:t xml:space="preserve">Table </w:t>
      </w:r>
      <w:r w:rsidRPr="005C4BBB">
        <w:rPr>
          <w:rFonts w:ascii="Calibri" w:eastAsia="Times New Roman" w:hAnsi="Calibri" w:cs="Cordia New"/>
          <w:b/>
          <w:bCs/>
          <w:color w:val="5B9BD5"/>
          <w:sz w:val="18"/>
          <w:szCs w:val="18"/>
        </w:rPr>
        <w:fldChar w:fldCharType="begin"/>
      </w:r>
      <w:r w:rsidRPr="005C4BBB">
        <w:rPr>
          <w:rFonts w:ascii="Calibri" w:eastAsia="Times New Roman" w:hAnsi="Calibri" w:cs="Cordia New"/>
          <w:b/>
          <w:bCs/>
          <w:color w:val="5B9BD5"/>
          <w:sz w:val="18"/>
          <w:szCs w:val="18"/>
        </w:rPr>
        <w:instrText xml:space="preserve"> SEQ Table \* ARABIC </w:instrText>
      </w:r>
      <w:r w:rsidRPr="005C4BBB">
        <w:rPr>
          <w:rFonts w:ascii="Calibri" w:eastAsia="Times New Roman" w:hAnsi="Calibri" w:cs="Cordia New"/>
          <w:b/>
          <w:bCs/>
          <w:color w:val="5B9BD5"/>
          <w:sz w:val="18"/>
          <w:szCs w:val="18"/>
        </w:rPr>
        <w:fldChar w:fldCharType="separate"/>
      </w:r>
      <w:r w:rsidRPr="005C4BBB">
        <w:rPr>
          <w:rFonts w:ascii="Calibri" w:eastAsia="Times New Roman" w:hAnsi="Calibri" w:cs="Cordia New"/>
          <w:b/>
          <w:bCs/>
          <w:noProof/>
          <w:color w:val="5B9BD5"/>
          <w:sz w:val="18"/>
          <w:szCs w:val="18"/>
        </w:rPr>
        <w:t>1</w:t>
      </w:r>
      <w:r w:rsidRPr="005C4BBB">
        <w:rPr>
          <w:rFonts w:ascii="Calibri" w:eastAsia="Times New Roman" w:hAnsi="Calibri" w:cs="Cordia New"/>
          <w:b/>
          <w:bCs/>
          <w:noProof/>
          <w:color w:val="5B9BD5"/>
          <w:sz w:val="18"/>
          <w:szCs w:val="18"/>
        </w:rPr>
        <w:fldChar w:fldCharType="end"/>
      </w:r>
      <w:bookmarkEnd w:id="1"/>
      <w:r w:rsidRPr="005C4BBB">
        <w:rPr>
          <w:rFonts w:ascii="Calibri" w:eastAsia="Times New Roman" w:hAnsi="Calibri" w:cs="Cordia New"/>
          <w:b/>
          <w:bCs/>
          <w:color w:val="5B9BD5"/>
          <w:sz w:val="18"/>
          <w:szCs w:val="18"/>
        </w:rPr>
        <w:t xml:space="preserve"> Organizing gender-related information using the Gender Dimension Framework</w:t>
      </w:r>
    </w:p>
    <w:tbl>
      <w:tblPr>
        <w:tblStyle w:val="TableGrid1"/>
        <w:tblW w:w="5000" w:type="pct"/>
        <w:tblLook w:val="04A0" w:firstRow="1" w:lastRow="0" w:firstColumn="1" w:lastColumn="0" w:noHBand="0" w:noVBand="1"/>
      </w:tblPr>
      <w:tblGrid>
        <w:gridCol w:w="2750"/>
        <w:gridCol w:w="2460"/>
        <w:gridCol w:w="2755"/>
        <w:gridCol w:w="3345"/>
        <w:gridCol w:w="3440"/>
      </w:tblGrid>
      <w:tr w:rsidR="00332D36" w:rsidRPr="00332D36" w14:paraId="646BED0D" w14:textId="77777777" w:rsidTr="005107F3">
        <w:tc>
          <w:tcPr>
            <w:tcW w:w="932" w:type="pct"/>
            <w:vMerge w:val="restart"/>
          </w:tcPr>
          <w:p w14:paraId="260FF5A3" w14:textId="77777777" w:rsidR="00332D36" w:rsidRPr="005C4BBB" w:rsidRDefault="00332D36" w:rsidP="00332D36">
            <w:pPr>
              <w:rPr>
                <w:rFonts w:ascii="Calibri" w:eastAsia="Times New Roman" w:hAnsi="Calibri" w:cs="Cordia New"/>
                <w:b/>
                <w:szCs w:val="24"/>
              </w:rPr>
            </w:pPr>
            <w:bookmarkStart w:id="2" w:name="_GoBack" w:colFirst="1" w:colLast="2"/>
          </w:p>
          <w:p w14:paraId="4D4F4581" w14:textId="77777777" w:rsidR="00332D36" w:rsidRPr="005C4BBB" w:rsidRDefault="00332D36" w:rsidP="00332D36">
            <w:pPr>
              <w:rPr>
                <w:rFonts w:ascii="Calibri" w:eastAsia="Times New Roman" w:hAnsi="Calibri" w:cs="Cordia New"/>
                <w:b/>
                <w:szCs w:val="24"/>
              </w:rPr>
            </w:pPr>
            <w:r w:rsidRPr="005C4BBB">
              <w:rPr>
                <w:rFonts w:ascii="Calibri" w:eastAsia="Times New Roman" w:hAnsi="Calibri" w:cs="Cordia New"/>
                <w:b/>
                <w:szCs w:val="24"/>
              </w:rPr>
              <w:t>Dimension</w:t>
            </w:r>
          </w:p>
        </w:tc>
        <w:tc>
          <w:tcPr>
            <w:tcW w:w="1767" w:type="pct"/>
            <w:gridSpan w:val="2"/>
            <w:tcBorders>
              <w:bottom w:val="single" w:sz="4" w:space="0" w:color="auto"/>
            </w:tcBorders>
          </w:tcPr>
          <w:p w14:paraId="752A5727" w14:textId="77777777" w:rsidR="00332D36" w:rsidRPr="005C4BBB" w:rsidRDefault="00332D36" w:rsidP="00332D36">
            <w:pPr>
              <w:jc w:val="center"/>
              <w:rPr>
                <w:rFonts w:ascii="Calibri" w:eastAsia="Times New Roman" w:hAnsi="Calibri" w:cs="Cordia New"/>
                <w:b/>
                <w:szCs w:val="24"/>
              </w:rPr>
            </w:pPr>
            <w:r w:rsidRPr="005C4BBB">
              <w:rPr>
                <w:rFonts w:ascii="Calibri" w:eastAsia="Times New Roman" w:hAnsi="Calibri" w:cs="Cordia New"/>
                <w:b/>
                <w:szCs w:val="24"/>
              </w:rPr>
              <w:t>Information about men</w:t>
            </w:r>
          </w:p>
        </w:tc>
        <w:tc>
          <w:tcPr>
            <w:tcW w:w="2301" w:type="pct"/>
            <w:gridSpan w:val="2"/>
            <w:tcBorders>
              <w:bottom w:val="single" w:sz="4" w:space="0" w:color="auto"/>
            </w:tcBorders>
          </w:tcPr>
          <w:p w14:paraId="745E6595" w14:textId="77777777" w:rsidR="00332D36" w:rsidRPr="005C4BBB" w:rsidRDefault="00332D36" w:rsidP="00332D36">
            <w:pPr>
              <w:jc w:val="center"/>
              <w:rPr>
                <w:rFonts w:ascii="Calibri" w:eastAsia="Times New Roman" w:hAnsi="Calibri" w:cs="Cordia New"/>
                <w:b/>
                <w:szCs w:val="24"/>
              </w:rPr>
            </w:pPr>
            <w:r w:rsidRPr="005C4BBB">
              <w:rPr>
                <w:rFonts w:ascii="Calibri" w:eastAsia="Times New Roman" w:hAnsi="Calibri" w:cs="Cordia New"/>
                <w:b/>
                <w:szCs w:val="24"/>
              </w:rPr>
              <w:t>Information about women</w:t>
            </w:r>
          </w:p>
        </w:tc>
      </w:tr>
      <w:bookmarkEnd w:id="2"/>
      <w:tr w:rsidR="00332D36" w:rsidRPr="00332D36" w14:paraId="43B87A9F" w14:textId="77777777" w:rsidTr="005107F3">
        <w:tc>
          <w:tcPr>
            <w:tcW w:w="932" w:type="pct"/>
            <w:vMerge/>
          </w:tcPr>
          <w:p w14:paraId="1B720988" w14:textId="77777777" w:rsidR="00332D36" w:rsidRPr="005C4BBB" w:rsidRDefault="00332D36" w:rsidP="00332D36">
            <w:pPr>
              <w:rPr>
                <w:rFonts w:ascii="Calibri" w:eastAsia="Times New Roman" w:hAnsi="Calibri" w:cs="Cordia New"/>
                <w:b/>
                <w:szCs w:val="24"/>
              </w:rPr>
            </w:pPr>
          </w:p>
        </w:tc>
        <w:tc>
          <w:tcPr>
            <w:tcW w:w="834" w:type="pct"/>
            <w:shd w:val="clear" w:color="auto" w:fill="A6CE39"/>
          </w:tcPr>
          <w:p w14:paraId="00E458E9" w14:textId="77777777" w:rsidR="00332D36" w:rsidRPr="00332D36" w:rsidRDefault="00332D36" w:rsidP="00332D36">
            <w:pPr>
              <w:jc w:val="center"/>
              <w:rPr>
                <w:rFonts w:ascii="Calibri" w:eastAsia="Times New Roman" w:hAnsi="Calibri" w:cs="Cordia New"/>
                <w:szCs w:val="24"/>
              </w:rPr>
            </w:pPr>
          </w:p>
        </w:tc>
        <w:tc>
          <w:tcPr>
            <w:tcW w:w="934" w:type="pct"/>
            <w:shd w:val="clear" w:color="auto" w:fill="A6CE39"/>
          </w:tcPr>
          <w:p w14:paraId="5333A674" w14:textId="77777777" w:rsidR="00332D36" w:rsidRPr="00332D36" w:rsidRDefault="00332D36" w:rsidP="00332D36">
            <w:pPr>
              <w:jc w:val="center"/>
              <w:rPr>
                <w:rFonts w:ascii="Calibri" w:eastAsia="Times New Roman" w:hAnsi="Calibri" w:cs="Cordia New"/>
                <w:b/>
                <w:szCs w:val="24"/>
              </w:rPr>
            </w:pPr>
            <w:r w:rsidRPr="00332D36">
              <w:rPr>
                <w:rFonts w:ascii="Calibri" w:eastAsia="Times New Roman" w:hAnsi="Calibri" w:cs="Cordia New"/>
                <w:b/>
                <w:szCs w:val="24"/>
              </w:rPr>
              <w:t>Beliefs &amp; Perceptions</w:t>
            </w:r>
          </w:p>
        </w:tc>
        <w:tc>
          <w:tcPr>
            <w:tcW w:w="1134" w:type="pct"/>
            <w:shd w:val="clear" w:color="auto" w:fill="A6CE39"/>
          </w:tcPr>
          <w:p w14:paraId="7F8598BD" w14:textId="77777777" w:rsidR="00332D36" w:rsidRPr="00332D36" w:rsidRDefault="00332D36" w:rsidP="00332D36">
            <w:pPr>
              <w:jc w:val="center"/>
              <w:rPr>
                <w:rFonts w:ascii="Calibri" w:eastAsia="Times New Roman" w:hAnsi="Calibri" w:cs="Cordia New"/>
                <w:b/>
                <w:szCs w:val="24"/>
              </w:rPr>
            </w:pPr>
          </w:p>
        </w:tc>
        <w:tc>
          <w:tcPr>
            <w:tcW w:w="1167" w:type="pct"/>
            <w:shd w:val="clear" w:color="auto" w:fill="A6CE39"/>
          </w:tcPr>
          <w:p w14:paraId="434185D8" w14:textId="77777777" w:rsidR="00332D36" w:rsidRPr="00332D36" w:rsidRDefault="00332D36" w:rsidP="00332D36">
            <w:pPr>
              <w:jc w:val="center"/>
              <w:rPr>
                <w:rFonts w:ascii="Calibri" w:eastAsia="Times New Roman" w:hAnsi="Calibri" w:cs="Cordia New"/>
                <w:b/>
                <w:szCs w:val="24"/>
              </w:rPr>
            </w:pPr>
            <w:r w:rsidRPr="00332D36">
              <w:rPr>
                <w:rFonts w:ascii="Calibri" w:eastAsia="Times New Roman" w:hAnsi="Calibri" w:cs="Cordia New"/>
                <w:b/>
                <w:szCs w:val="24"/>
              </w:rPr>
              <w:t>Beliefs &amp; Perceptions</w:t>
            </w:r>
          </w:p>
        </w:tc>
      </w:tr>
      <w:tr w:rsidR="00332D36" w:rsidRPr="00332D36" w14:paraId="437B9DBA" w14:textId="77777777" w:rsidTr="005107F3">
        <w:tc>
          <w:tcPr>
            <w:tcW w:w="932" w:type="pct"/>
            <w:tcBorders>
              <w:bottom w:val="single" w:sz="4" w:space="0" w:color="auto"/>
            </w:tcBorders>
          </w:tcPr>
          <w:p w14:paraId="174506B9" w14:textId="77777777" w:rsidR="00332D36" w:rsidRPr="005C4BBB" w:rsidRDefault="00332D36" w:rsidP="00332D36">
            <w:pPr>
              <w:rPr>
                <w:rFonts w:ascii="Calibri" w:eastAsia="Times New Roman" w:hAnsi="Calibri" w:cs="Cordia New"/>
                <w:b/>
                <w:szCs w:val="24"/>
              </w:rPr>
            </w:pPr>
            <w:r w:rsidRPr="005C4BBB">
              <w:rPr>
                <w:rFonts w:ascii="Calibri" w:eastAsia="Times New Roman" w:hAnsi="Calibri" w:cs="Cordia New"/>
                <w:b/>
                <w:szCs w:val="24"/>
              </w:rPr>
              <w:t>Access (use, control, ownership) to assets</w:t>
            </w:r>
          </w:p>
        </w:tc>
        <w:tc>
          <w:tcPr>
            <w:tcW w:w="834" w:type="pct"/>
            <w:tcBorders>
              <w:bottom w:val="single" w:sz="4" w:space="0" w:color="auto"/>
            </w:tcBorders>
          </w:tcPr>
          <w:p w14:paraId="4E1F9C55" w14:textId="77777777" w:rsidR="00332D36" w:rsidRPr="00332D36" w:rsidRDefault="00332D36" w:rsidP="00332D36">
            <w:pPr>
              <w:rPr>
                <w:rFonts w:ascii="Calibri" w:eastAsia="Times New Roman" w:hAnsi="Calibri" w:cs="Cordia New"/>
                <w:szCs w:val="24"/>
              </w:rPr>
            </w:pPr>
          </w:p>
          <w:p w14:paraId="2DBD3A67" w14:textId="77777777" w:rsidR="00332D36" w:rsidRPr="00332D36" w:rsidRDefault="00332D36" w:rsidP="00332D36">
            <w:pPr>
              <w:rPr>
                <w:rFonts w:ascii="Calibri" w:eastAsia="Times New Roman" w:hAnsi="Calibri" w:cs="Cordia New"/>
                <w:szCs w:val="24"/>
              </w:rPr>
            </w:pPr>
          </w:p>
          <w:p w14:paraId="4F764CDF" w14:textId="77777777" w:rsidR="00332D36" w:rsidRPr="00332D36" w:rsidRDefault="00332D36" w:rsidP="00332D36">
            <w:pPr>
              <w:rPr>
                <w:rFonts w:ascii="Calibri" w:eastAsia="Times New Roman" w:hAnsi="Calibri" w:cs="Cordia New"/>
                <w:szCs w:val="24"/>
              </w:rPr>
            </w:pPr>
          </w:p>
          <w:p w14:paraId="086FDD7C" w14:textId="77777777" w:rsidR="00332D36" w:rsidRPr="00332D36" w:rsidRDefault="00332D36" w:rsidP="00332D36">
            <w:pPr>
              <w:rPr>
                <w:rFonts w:ascii="Calibri" w:eastAsia="Times New Roman" w:hAnsi="Calibri" w:cs="Cordia New"/>
                <w:szCs w:val="24"/>
              </w:rPr>
            </w:pPr>
          </w:p>
          <w:p w14:paraId="469082B0" w14:textId="77777777" w:rsidR="00332D36" w:rsidRPr="00332D36" w:rsidRDefault="00332D36" w:rsidP="00332D36">
            <w:pPr>
              <w:rPr>
                <w:rFonts w:ascii="Calibri" w:eastAsia="Times New Roman" w:hAnsi="Calibri" w:cs="Cordia New"/>
                <w:szCs w:val="24"/>
              </w:rPr>
            </w:pPr>
          </w:p>
          <w:p w14:paraId="30F26CF6" w14:textId="77777777" w:rsidR="00332D36" w:rsidRPr="00332D36" w:rsidRDefault="00332D36" w:rsidP="00332D36">
            <w:pPr>
              <w:rPr>
                <w:rFonts w:ascii="Calibri" w:eastAsia="Times New Roman" w:hAnsi="Calibri" w:cs="Cordia New"/>
                <w:szCs w:val="24"/>
              </w:rPr>
            </w:pPr>
          </w:p>
          <w:p w14:paraId="5F4AD6BB" w14:textId="77777777" w:rsidR="00332D36" w:rsidRPr="00332D36" w:rsidRDefault="00332D36" w:rsidP="00332D36">
            <w:pPr>
              <w:rPr>
                <w:rFonts w:ascii="Calibri" w:eastAsia="Times New Roman" w:hAnsi="Calibri" w:cs="Cordia New"/>
                <w:szCs w:val="24"/>
              </w:rPr>
            </w:pPr>
          </w:p>
          <w:p w14:paraId="551CBB12" w14:textId="77777777" w:rsidR="00332D36" w:rsidRPr="00332D36" w:rsidRDefault="00332D36" w:rsidP="00332D36">
            <w:pPr>
              <w:rPr>
                <w:rFonts w:ascii="Calibri" w:eastAsia="Times New Roman" w:hAnsi="Calibri" w:cs="Cordia New"/>
                <w:szCs w:val="24"/>
              </w:rPr>
            </w:pPr>
          </w:p>
          <w:p w14:paraId="4A417409" w14:textId="77777777" w:rsidR="00332D36" w:rsidRPr="00332D36" w:rsidRDefault="00332D36" w:rsidP="00332D36">
            <w:pPr>
              <w:rPr>
                <w:rFonts w:ascii="Calibri" w:eastAsia="Times New Roman" w:hAnsi="Calibri" w:cs="Cordia New"/>
                <w:szCs w:val="24"/>
              </w:rPr>
            </w:pPr>
          </w:p>
        </w:tc>
        <w:tc>
          <w:tcPr>
            <w:tcW w:w="934" w:type="pct"/>
            <w:tcBorders>
              <w:bottom w:val="single" w:sz="4" w:space="0" w:color="auto"/>
            </w:tcBorders>
          </w:tcPr>
          <w:p w14:paraId="4C0D5695" w14:textId="77777777" w:rsidR="00332D36" w:rsidRPr="00332D36" w:rsidRDefault="00332D36" w:rsidP="00332D36">
            <w:pPr>
              <w:rPr>
                <w:rFonts w:ascii="Calibri" w:eastAsia="Times New Roman" w:hAnsi="Calibri" w:cs="Cordia New"/>
                <w:szCs w:val="24"/>
              </w:rPr>
            </w:pPr>
          </w:p>
        </w:tc>
        <w:tc>
          <w:tcPr>
            <w:tcW w:w="1134" w:type="pct"/>
            <w:tcBorders>
              <w:bottom w:val="single" w:sz="4" w:space="0" w:color="auto"/>
            </w:tcBorders>
          </w:tcPr>
          <w:p w14:paraId="36BF7FC0" w14:textId="77777777" w:rsidR="00332D36" w:rsidRPr="00332D36" w:rsidRDefault="00332D36" w:rsidP="00332D36">
            <w:pPr>
              <w:rPr>
                <w:rFonts w:ascii="Calibri" w:eastAsia="Times New Roman" w:hAnsi="Calibri" w:cs="Cordia New"/>
                <w:szCs w:val="24"/>
              </w:rPr>
            </w:pPr>
          </w:p>
        </w:tc>
        <w:tc>
          <w:tcPr>
            <w:tcW w:w="1167" w:type="pct"/>
            <w:tcBorders>
              <w:bottom w:val="single" w:sz="4" w:space="0" w:color="auto"/>
            </w:tcBorders>
          </w:tcPr>
          <w:p w14:paraId="6B94B89F" w14:textId="77777777" w:rsidR="00332D36" w:rsidRPr="00332D36" w:rsidRDefault="00332D36" w:rsidP="00332D36">
            <w:pPr>
              <w:rPr>
                <w:rFonts w:ascii="Calibri" w:eastAsia="Times New Roman" w:hAnsi="Calibri" w:cs="Cordia New"/>
                <w:szCs w:val="24"/>
              </w:rPr>
            </w:pPr>
          </w:p>
        </w:tc>
      </w:tr>
      <w:tr w:rsidR="00332D36" w:rsidRPr="00332D36" w14:paraId="0CA185F4" w14:textId="77777777" w:rsidTr="005107F3">
        <w:tc>
          <w:tcPr>
            <w:tcW w:w="932" w:type="pct"/>
            <w:shd w:val="clear" w:color="auto" w:fill="A6CE39"/>
          </w:tcPr>
          <w:p w14:paraId="785ECD0C" w14:textId="77777777" w:rsidR="00332D36" w:rsidRPr="005C4BBB" w:rsidRDefault="00332D36" w:rsidP="00332D36">
            <w:pPr>
              <w:rPr>
                <w:rFonts w:ascii="Calibri" w:eastAsia="Times New Roman" w:hAnsi="Calibri" w:cs="Cordia New"/>
                <w:b/>
                <w:szCs w:val="24"/>
              </w:rPr>
            </w:pPr>
            <w:r w:rsidRPr="005C4BBB">
              <w:rPr>
                <w:rFonts w:ascii="Calibri" w:eastAsia="Times New Roman" w:hAnsi="Calibri" w:cs="Cordia New"/>
                <w:b/>
                <w:szCs w:val="24"/>
              </w:rPr>
              <w:t>Practices &amp; participation</w:t>
            </w:r>
          </w:p>
        </w:tc>
        <w:tc>
          <w:tcPr>
            <w:tcW w:w="834" w:type="pct"/>
            <w:shd w:val="clear" w:color="auto" w:fill="A6CE39"/>
          </w:tcPr>
          <w:p w14:paraId="67ED3573" w14:textId="77777777" w:rsidR="00332D36" w:rsidRPr="00332D36" w:rsidRDefault="00332D36" w:rsidP="00332D36">
            <w:pPr>
              <w:rPr>
                <w:rFonts w:ascii="Calibri" w:eastAsia="Times New Roman" w:hAnsi="Calibri" w:cs="Cordia New"/>
                <w:szCs w:val="24"/>
              </w:rPr>
            </w:pPr>
          </w:p>
          <w:p w14:paraId="122872CB" w14:textId="77777777" w:rsidR="00332D36" w:rsidRPr="00332D36" w:rsidRDefault="00332D36" w:rsidP="00332D36">
            <w:pPr>
              <w:rPr>
                <w:rFonts w:ascii="Calibri" w:eastAsia="Times New Roman" w:hAnsi="Calibri" w:cs="Cordia New"/>
                <w:szCs w:val="24"/>
              </w:rPr>
            </w:pPr>
          </w:p>
          <w:p w14:paraId="34C88C72" w14:textId="77777777" w:rsidR="00332D36" w:rsidRPr="00332D36" w:rsidRDefault="00332D36" w:rsidP="00332D36">
            <w:pPr>
              <w:rPr>
                <w:rFonts w:ascii="Calibri" w:eastAsia="Times New Roman" w:hAnsi="Calibri" w:cs="Cordia New"/>
                <w:szCs w:val="24"/>
              </w:rPr>
            </w:pPr>
          </w:p>
          <w:p w14:paraId="0CC0BBD2" w14:textId="77777777" w:rsidR="00332D36" w:rsidRPr="00332D36" w:rsidRDefault="00332D36" w:rsidP="00332D36">
            <w:pPr>
              <w:rPr>
                <w:rFonts w:ascii="Calibri" w:eastAsia="Times New Roman" w:hAnsi="Calibri" w:cs="Cordia New"/>
                <w:szCs w:val="24"/>
              </w:rPr>
            </w:pPr>
          </w:p>
          <w:p w14:paraId="58F228ED" w14:textId="77777777" w:rsidR="00332D36" w:rsidRPr="00332D36" w:rsidRDefault="00332D36" w:rsidP="00332D36">
            <w:pPr>
              <w:rPr>
                <w:rFonts w:ascii="Calibri" w:eastAsia="Times New Roman" w:hAnsi="Calibri" w:cs="Cordia New"/>
                <w:szCs w:val="24"/>
              </w:rPr>
            </w:pPr>
          </w:p>
          <w:p w14:paraId="5D18EA6E" w14:textId="77777777" w:rsidR="00332D36" w:rsidRPr="00332D36" w:rsidRDefault="00332D36" w:rsidP="00332D36">
            <w:pPr>
              <w:rPr>
                <w:rFonts w:ascii="Calibri" w:eastAsia="Times New Roman" w:hAnsi="Calibri" w:cs="Cordia New"/>
                <w:szCs w:val="24"/>
              </w:rPr>
            </w:pPr>
          </w:p>
          <w:p w14:paraId="1FE6721A" w14:textId="77777777" w:rsidR="00332D36" w:rsidRPr="00332D36" w:rsidRDefault="00332D36" w:rsidP="00332D36">
            <w:pPr>
              <w:rPr>
                <w:rFonts w:ascii="Calibri" w:eastAsia="Times New Roman" w:hAnsi="Calibri" w:cs="Cordia New"/>
                <w:szCs w:val="24"/>
              </w:rPr>
            </w:pPr>
          </w:p>
          <w:p w14:paraId="66B417C0" w14:textId="77777777" w:rsidR="00332D36" w:rsidRPr="00332D36" w:rsidRDefault="00332D36" w:rsidP="00332D36">
            <w:pPr>
              <w:rPr>
                <w:rFonts w:ascii="Calibri" w:eastAsia="Times New Roman" w:hAnsi="Calibri" w:cs="Cordia New"/>
                <w:szCs w:val="24"/>
              </w:rPr>
            </w:pPr>
          </w:p>
        </w:tc>
        <w:tc>
          <w:tcPr>
            <w:tcW w:w="934" w:type="pct"/>
            <w:shd w:val="clear" w:color="auto" w:fill="A6CE39"/>
          </w:tcPr>
          <w:p w14:paraId="26000575" w14:textId="77777777" w:rsidR="00332D36" w:rsidRPr="00332D36" w:rsidRDefault="00332D36" w:rsidP="00332D36">
            <w:pPr>
              <w:rPr>
                <w:rFonts w:ascii="Calibri" w:eastAsia="Times New Roman" w:hAnsi="Calibri" w:cs="Cordia New"/>
                <w:szCs w:val="24"/>
              </w:rPr>
            </w:pPr>
          </w:p>
        </w:tc>
        <w:tc>
          <w:tcPr>
            <w:tcW w:w="1134" w:type="pct"/>
            <w:shd w:val="clear" w:color="auto" w:fill="A6CE39"/>
          </w:tcPr>
          <w:p w14:paraId="69DE11C6" w14:textId="77777777" w:rsidR="00332D36" w:rsidRPr="00332D36" w:rsidRDefault="00332D36" w:rsidP="00332D36">
            <w:pPr>
              <w:rPr>
                <w:rFonts w:ascii="Calibri" w:eastAsia="Times New Roman" w:hAnsi="Calibri" w:cs="Cordia New"/>
                <w:szCs w:val="24"/>
              </w:rPr>
            </w:pPr>
          </w:p>
        </w:tc>
        <w:tc>
          <w:tcPr>
            <w:tcW w:w="1167" w:type="pct"/>
            <w:shd w:val="clear" w:color="auto" w:fill="A6CE39"/>
          </w:tcPr>
          <w:p w14:paraId="075CC295" w14:textId="77777777" w:rsidR="00332D36" w:rsidRPr="00332D36" w:rsidRDefault="00332D36" w:rsidP="00332D36">
            <w:pPr>
              <w:rPr>
                <w:rFonts w:ascii="Calibri" w:eastAsia="Times New Roman" w:hAnsi="Calibri" w:cs="Cordia New"/>
                <w:szCs w:val="24"/>
              </w:rPr>
            </w:pPr>
          </w:p>
        </w:tc>
      </w:tr>
      <w:tr w:rsidR="00332D36" w:rsidRPr="00332D36" w14:paraId="5EBE4E1E" w14:textId="77777777" w:rsidTr="005107F3">
        <w:tc>
          <w:tcPr>
            <w:tcW w:w="932" w:type="pct"/>
          </w:tcPr>
          <w:p w14:paraId="2B9CA17B" w14:textId="77777777" w:rsidR="00332D36" w:rsidRPr="005C4BBB" w:rsidRDefault="00332D36" w:rsidP="00332D36">
            <w:pPr>
              <w:rPr>
                <w:rFonts w:ascii="Calibri" w:eastAsia="Times New Roman" w:hAnsi="Calibri" w:cs="Cordia New"/>
                <w:b/>
                <w:szCs w:val="24"/>
              </w:rPr>
            </w:pPr>
            <w:r w:rsidRPr="005C4BBB">
              <w:rPr>
                <w:rFonts w:ascii="Calibri" w:eastAsia="Times New Roman" w:hAnsi="Calibri" w:cs="Cordia New"/>
                <w:b/>
                <w:szCs w:val="24"/>
              </w:rPr>
              <w:t>Laws, policies, &amp; institutions</w:t>
            </w:r>
          </w:p>
        </w:tc>
        <w:tc>
          <w:tcPr>
            <w:tcW w:w="834" w:type="pct"/>
          </w:tcPr>
          <w:p w14:paraId="32EBBC3C" w14:textId="77777777" w:rsidR="00332D36" w:rsidRPr="00332D36" w:rsidRDefault="00332D36" w:rsidP="00332D36">
            <w:pPr>
              <w:rPr>
                <w:rFonts w:ascii="Calibri" w:eastAsia="Times New Roman" w:hAnsi="Calibri" w:cs="Cordia New"/>
                <w:szCs w:val="24"/>
              </w:rPr>
            </w:pPr>
          </w:p>
          <w:p w14:paraId="18A10764" w14:textId="77777777" w:rsidR="00332D36" w:rsidRPr="00332D36" w:rsidRDefault="00332D36" w:rsidP="00332D36">
            <w:pPr>
              <w:rPr>
                <w:rFonts w:ascii="Calibri" w:eastAsia="Times New Roman" w:hAnsi="Calibri" w:cs="Cordia New"/>
                <w:szCs w:val="24"/>
              </w:rPr>
            </w:pPr>
          </w:p>
          <w:p w14:paraId="74A546A4" w14:textId="77777777" w:rsidR="00332D36" w:rsidRPr="00332D36" w:rsidRDefault="00332D36" w:rsidP="00332D36">
            <w:pPr>
              <w:rPr>
                <w:rFonts w:ascii="Calibri" w:eastAsia="Times New Roman" w:hAnsi="Calibri" w:cs="Cordia New"/>
                <w:szCs w:val="24"/>
              </w:rPr>
            </w:pPr>
          </w:p>
          <w:p w14:paraId="0393EE14" w14:textId="77777777" w:rsidR="00332D36" w:rsidRPr="00332D36" w:rsidRDefault="00332D36" w:rsidP="00332D36">
            <w:pPr>
              <w:rPr>
                <w:rFonts w:ascii="Calibri" w:eastAsia="Times New Roman" w:hAnsi="Calibri" w:cs="Cordia New"/>
                <w:szCs w:val="24"/>
              </w:rPr>
            </w:pPr>
          </w:p>
          <w:p w14:paraId="5D212957" w14:textId="77777777" w:rsidR="00332D36" w:rsidRPr="00332D36" w:rsidRDefault="00332D36" w:rsidP="00332D36">
            <w:pPr>
              <w:rPr>
                <w:rFonts w:ascii="Calibri" w:eastAsia="Times New Roman" w:hAnsi="Calibri" w:cs="Cordia New"/>
                <w:szCs w:val="24"/>
              </w:rPr>
            </w:pPr>
          </w:p>
          <w:p w14:paraId="5C3BD1A9" w14:textId="77777777" w:rsidR="00332D36" w:rsidRPr="00332D36" w:rsidRDefault="00332D36" w:rsidP="00332D36">
            <w:pPr>
              <w:rPr>
                <w:rFonts w:ascii="Calibri" w:eastAsia="Times New Roman" w:hAnsi="Calibri" w:cs="Cordia New"/>
                <w:szCs w:val="24"/>
              </w:rPr>
            </w:pPr>
          </w:p>
          <w:p w14:paraId="7DE71F2D" w14:textId="77777777" w:rsidR="00332D36" w:rsidRPr="00332D36" w:rsidRDefault="00332D36" w:rsidP="00332D36">
            <w:pPr>
              <w:rPr>
                <w:rFonts w:ascii="Calibri" w:eastAsia="Times New Roman" w:hAnsi="Calibri" w:cs="Cordia New"/>
                <w:szCs w:val="24"/>
              </w:rPr>
            </w:pPr>
          </w:p>
          <w:p w14:paraId="26A3F8EF" w14:textId="77777777" w:rsidR="00332D36" w:rsidRPr="00332D36" w:rsidRDefault="00332D36" w:rsidP="00332D36">
            <w:pPr>
              <w:rPr>
                <w:rFonts w:ascii="Calibri" w:eastAsia="Times New Roman" w:hAnsi="Calibri" w:cs="Cordia New"/>
                <w:szCs w:val="24"/>
              </w:rPr>
            </w:pPr>
          </w:p>
        </w:tc>
        <w:tc>
          <w:tcPr>
            <w:tcW w:w="934" w:type="pct"/>
          </w:tcPr>
          <w:p w14:paraId="7B91BEC3" w14:textId="77777777" w:rsidR="00332D36" w:rsidRPr="00332D36" w:rsidRDefault="00332D36" w:rsidP="00332D36">
            <w:pPr>
              <w:rPr>
                <w:rFonts w:ascii="Calibri" w:eastAsia="Times New Roman" w:hAnsi="Calibri" w:cs="Cordia New"/>
                <w:szCs w:val="24"/>
              </w:rPr>
            </w:pPr>
          </w:p>
        </w:tc>
        <w:tc>
          <w:tcPr>
            <w:tcW w:w="1134" w:type="pct"/>
          </w:tcPr>
          <w:p w14:paraId="21504C28" w14:textId="77777777" w:rsidR="00332D36" w:rsidRPr="00332D36" w:rsidRDefault="00332D36" w:rsidP="00332D36">
            <w:pPr>
              <w:rPr>
                <w:rFonts w:ascii="Calibri" w:eastAsia="Times New Roman" w:hAnsi="Calibri" w:cs="Cordia New"/>
                <w:szCs w:val="24"/>
              </w:rPr>
            </w:pPr>
          </w:p>
        </w:tc>
        <w:tc>
          <w:tcPr>
            <w:tcW w:w="1167" w:type="pct"/>
          </w:tcPr>
          <w:p w14:paraId="20866430" w14:textId="77777777" w:rsidR="00332D36" w:rsidRPr="00332D36" w:rsidRDefault="00332D36" w:rsidP="00332D36">
            <w:pPr>
              <w:rPr>
                <w:rFonts w:ascii="Calibri" w:eastAsia="Times New Roman" w:hAnsi="Calibri" w:cs="Cordia New"/>
                <w:szCs w:val="24"/>
              </w:rPr>
            </w:pPr>
          </w:p>
        </w:tc>
      </w:tr>
    </w:tbl>
    <w:p w14:paraId="45C7B615" w14:textId="77777777" w:rsidR="00332D36" w:rsidRPr="00332D36" w:rsidRDefault="00332D36" w:rsidP="00332D36">
      <w:pPr>
        <w:spacing w:after="0" w:line="240" w:lineRule="auto"/>
        <w:rPr>
          <w:rFonts w:ascii="Calibri" w:eastAsia="Times New Roman" w:hAnsi="Calibri" w:cs="Cordia New"/>
          <w:szCs w:val="24"/>
        </w:rPr>
      </w:pPr>
    </w:p>
    <w:p w14:paraId="73052741" w14:textId="77777777" w:rsidR="004D0122" w:rsidRPr="00332D36" w:rsidRDefault="004D0122">
      <w:pPr>
        <w:rPr>
          <w:sz w:val="20"/>
        </w:rPr>
      </w:pPr>
    </w:p>
    <w:sectPr w:rsidR="004D0122" w:rsidRPr="00332D36" w:rsidSect="00DE2D49">
      <w:headerReference w:type="default" r:id="rId8"/>
      <w:footerReference w:type="default" r:id="rId9"/>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8D63" w14:textId="77777777" w:rsidR="007D1F91" w:rsidRDefault="007D1F91" w:rsidP="00B40785">
      <w:pPr>
        <w:spacing w:after="0" w:line="240" w:lineRule="auto"/>
      </w:pPr>
      <w:r>
        <w:separator/>
      </w:r>
    </w:p>
  </w:endnote>
  <w:endnote w:type="continuationSeparator" w:id="0">
    <w:p w14:paraId="2700DB5F" w14:textId="77777777" w:rsidR="007D1F91" w:rsidRDefault="007D1F91" w:rsidP="00B40785">
      <w:pPr>
        <w:spacing w:after="0" w:line="240" w:lineRule="auto"/>
      </w:pPr>
      <w:r>
        <w:continuationSeparator/>
      </w:r>
    </w:p>
  </w:endnote>
  <w:endnote w:type="continuationNotice" w:id="1">
    <w:p w14:paraId="1CD5BECC" w14:textId="77777777" w:rsidR="007D1F91" w:rsidRDefault="007D1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BEFA96B" w14:textId="4B517B54" w:rsidR="00DA42FF" w:rsidRDefault="00DA42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4BB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4BBB">
              <w:rPr>
                <w:b/>
                <w:bCs/>
                <w:noProof/>
              </w:rPr>
              <w:t>4</w:t>
            </w:r>
            <w:r>
              <w:rPr>
                <w:b/>
                <w:bCs/>
                <w:sz w:val="24"/>
                <w:szCs w:val="24"/>
              </w:rPr>
              <w:fldChar w:fldCharType="end"/>
            </w:r>
          </w:p>
        </w:sdtContent>
      </w:sdt>
    </w:sdtContent>
  </w:sdt>
  <w:p w14:paraId="44435B0B" w14:textId="77777777" w:rsidR="00DA42FF" w:rsidRDefault="00DA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46CAC" w14:textId="77777777" w:rsidR="007D1F91" w:rsidRDefault="007D1F91" w:rsidP="00B40785">
      <w:pPr>
        <w:spacing w:after="0" w:line="240" w:lineRule="auto"/>
      </w:pPr>
      <w:r>
        <w:separator/>
      </w:r>
    </w:p>
  </w:footnote>
  <w:footnote w:type="continuationSeparator" w:id="0">
    <w:p w14:paraId="1540890B" w14:textId="77777777" w:rsidR="007D1F91" w:rsidRDefault="007D1F91" w:rsidP="00B40785">
      <w:pPr>
        <w:spacing w:after="0" w:line="240" w:lineRule="auto"/>
      </w:pPr>
      <w:r>
        <w:continuationSeparator/>
      </w:r>
    </w:p>
  </w:footnote>
  <w:footnote w:type="continuationNotice" w:id="1">
    <w:p w14:paraId="1C6FF8BA" w14:textId="77777777" w:rsidR="007D1F91" w:rsidRDefault="007D1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3F9" w14:textId="77777777" w:rsidR="00DA42FF" w:rsidRDefault="00DA42FF">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6"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95A719E" w14:textId="17961BF4" w:rsidR="00DA42FF" w:rsidRPr="00041B12" w:rsidRDefault="00B61374"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Needs Assessment</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7"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95A719E" w14:textId="17961BF4" w:rsidR="00DA42FF" w:rsidRPr="00041B12" w:rsidRDefault="00B61374"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Needs Assessment</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979"/>
    <w:multiLevelType w:val="hybridMultilevel"/>
    <w:tmpl w:val="475AB8A8"/>
    <w:lvl w:ilvl="0" w:tplc="8AE86C84">
      <w:start w:val="1"/>
      <w:numFmt w:val="bullet"/>
      <w:lvlText w:val=""/>
      <w:lvlJc w:val="left"/>
      <w:pPr>
        <w:tabs>
          <w:tab w:val="num" w:pos="360"/>
        </w:tabs>
        <w:ind w:left="360" w:hanging="360"/>
      </w:pPr>
      <w:rPr>
        <w:rFonts w:ascii="Symbol" w:hAnsi="Symbol" w:hint="default"/>
        <w:color w:val="auto"/>
      </w:rPr>
    </w:lvl>
    <w:lvl w:ilvl="1" w:tplc="33E0A6FA">
      <w:start w:val="1"/>
      <w:numFmt w:val="bullet"/>
      <w:lvlText w:val="–"/>
      <w:lvlJc w:val="left"/>
      <w:pPr>
        <w:tabs>
          <w:tab w:val="num" w:pos="1080"/>
        </w:tabs>
        <w:ind w:left="1080" w:hanging="360"/>
      </w:pPr>
      <w:rPr>
        <w:rFonts w:ascii="Arial" w:hAnsi="Arial" w:hint="default"/>
      </w:rPr>
    </w:lvl>
    <w:lvl w:ilvl="2" w:tplc="50ECF878" w:tentative="1">
      <w:start w:val="1"/>
      <w:numFmt w:val="bullet"/>
      <w:lvlText w:val="–"/>
      <w:lvlJc w:val="left"/>
      <w:pPr>
        <w:tabs>
          <w:tab w:val="num" w:pos="1800"/>
        </w:tabs>
        <w:ind w:left="1800" w:hanging="360"/>
      </w:pPr>
      <w:rPr>
        <w:rFonts w:ascii="Arial" w:hAnsi="Arial" w:hint="default"/>
      </w:rPr>
    </w:lvl>
    <w:lvl w:ilvl="3" w:tplc="9C5AC23A" w:tentative="1">
      <w:start w:val="1"/>
      <w:numFmt w:val="bullet"/>
      <w:lvlText w:val="–"/>
      <w:lvlJc w:val="left"/>
      <w:pPr>
        <w:tabs>
          <w:tab w:val="num" w:pos="2520"/>
        </w:tabs>
        <w:ind w:left="2520" w:hanging="360"/>
      </w:pPr>
      <w:rPr>
        <w:rFonts w:ascii="Arial" w:hAnsi="Arial" w:hint="default"/>
      </w:rPr>
    </w:lvl>
    <w:lvl w:ilvl="4" w:tplc="BED0A244" w:tentative="1">
      <w:start w:val="1"/>
      <w:numFmt w:val="bullet"/>
      <w:lvlText w:val="–"/>
      <w:lvlJc w:val="left"/>
      <w:pPr>
        <w:tabs>
          <w:tab w:val="num" w:pos="3240"/>
        </w:tabs>
        <w:ind w:left="3240" w:hanging="360"/>
      </w:pPr>
      <w:rPr>
        <w:rFonts w:ascii="Arial" w:hAnsi="Arial" w:hint="default"/>
      </w:rPr>
    </w:lvl>
    <w:lvl w:ilvl="5" w:tplc="983CA1FE" w:tentative="1">
      <w:start w:val="1"/>
      <w:numFmt w:val="bullet"/>
      <w:lvlText w:val="–"/>
      <w:lvlJc w:val="left"/>
      <w:pPr>
        <w:tabs>
          <w:tab w:val="num" w:pos="3960"/>
        </w:tabs>
        <w:ind w:left="3960" w:hanging="360"/>
      </w:pPr>
      <w:rPr>
        <w:rFonts w:ascii="Arial" w:hAnsi="Arial" w:hint="default"/>
      </w:rPr>
    </w:lvl>
    <w:lvl w:ilvl="6" w:tplc="1C2AC634" w:tentative="1">
      <w:start w:val="1"/>
      <w:numFmt w:val="bullet"/>
      <w:lvlText w:val="–"/>
      <w:lvlJc w:val="left"/>
      <w:pPr>
        <w:tabs>
          <w:tab w:val="num" w:pos="4680"/>
        </w:tabs>
        <w:ind w:left="4680" w:hanging="360"/>
      </w:pPr>
      <w:rPr>
        <w:rFonts w:ascii="Arial" w:hAnsi="Arial" w:hint="default"/>
      </w:rPr>
    </w:lvl>
    <w:lvl w:ilvl="7" w:tplc="4E48A720" w:tentative="1">
      <w:start w:val="1"/>
      <w:numFmt w:val="bullet"/>
      <w:lvlText w:val="–"/>
      <w:lvlJc w:val="left"/>
      <w:pPr>
        <w:tabs>
          <w:tab w:val="num" w:pos="5400"/>
        </w:tabs>
        <w:ind w:left="5400" w:hanging="360"/>
      </w:pPr>
      <w:rPr>
        <w:rFonts w:ascii="Arial" w:hAnsi="Arial" w:hint="default"/>
      </w:rPr>
    </w:lvl>
    <w:lvl w:ilvl="8" w:tplc="E2B6129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2894712"/>
    <w:multiLevelType w:val="hybridMultilevel"/>
    <w:tmpl w:val="9F9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436F1"/>
    <w:multiLevelType w:val="hybridMultilevel"/>
    <w:tmpl w:val="F61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C2AEF"/>
    <w:multiLevelType w:val="hybridMultilevel"/>
    <w:tmpl w:val="A186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34C0A"/>
    <w:multiLevelType w:val="hybridMultilevel"/>
    <w:tmpl w:val="B1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06330"/>
    <w:multiLevelType w:val="hybridMultilevel"/>
    <w:tmpl w:val="0E0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D5ED4"/>
    <w:multiLevelType w:val="hybridMultilevel"/>
    <w:tmpl w:val="61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90211"/>
    <w:multiLevelType w:val="hybridMultilevel"/>
    <w:tmpl w:val="2AFC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22C91"/>
    <w:rsid w:val="00026BAE"/>
    <w:rsid w:val="00032FAD"/>
    <w:rsid w:val="00033D06"/>
    <w:rsid w:val="00041B12"/>
    <w:rsid w:val="000873CD"/>
    <w:rsid w:val="000A058C"/>
    <w:rsid w:val="000A4C4E"/>
    <w:rsid w:val="000C2361"/>
    <w:rsid w:val="000C3E94"/>
    <w:rsid w:val="000C3EE4"/>
    <w:rsid w:val="00107E50"/>
    <w:rsid w:val="00116B9B"/>
    <w:rsid w:val="001348DD"/>
    <w:rsid w:val="00136725"/>
    <w:rsid w:val="001669B9"/>
    <w:rsid w:val="00176D00"/>
    <w:rsid w:val="00181BD1"/>
    <w:rsid w:val="001C1EE3"/>
    <w:rsid w:val="001E1738"/>
    <w:rsid w:val="00244346"/>
    <w:rsid w:val="00286B0E"/>
    <w:rsid w:val="002B079E"/>
    <w:rsid w:val="002B3F95"/>
    <w:rsid w:val="0030699E"/>
    <w:rsid w:val="003254CC"/>
    <w:rsid w:val="0033007C"/>
    <w:rsid w:val="0033212D"/>
    <w:rsid w:val="00332D36"/>
    <w:rsid w:val="003436A6"/>
    <w:rsid w:val="003676A6"/>
    <w:rsid w:val="00383830"/>
    <w:rsid w:val="003D5642"/>
    <w:rsid w:val="004001AE"/>
    <w:rsid w:val="00403790"/>
    <w:rsid w:val="004A2ED8"/>
    <w:rsid w:val="004A5762"/>
    <w:rsid w:val="004B387C"/>
    <w:rsid w:val="004D0122"/>
    <w:rsid w:val="004E212A"/>
    <w:rsid w:val="004F05F4"/>
    <w:rsid w:val="005107F3"/>
    <w:rsid w:val="00535434"/>
    <w:rsid w:val="005609CE"/>
    <w:rsid w:val="00593A87"/>
    <w:rsid w:val="005A180E"/>
    <w:rsid w:val="005C4BBB"/>
    <w:rsid w:val="006167A0"/>
    <w:rsid w:val="00653BAB"/>
    <w:rsid w:val="0066147F"/>
    <w:rsid w:val="006B0EF5"/>
    <w:rsid w:val="006D1C9A"/>
    <w:rsid w:val="00703532"/>
    <w:rsid w:val="007B2903"/>
    <w:rsid w:val="007B542B"/>
    <w:rsid w:val="007B678C"/>
    <w:rsid w:val="007C5B8E"/>
    <w:rsid w:val="007D0081"/>
    <w:rsid w:val="007D1F91"/>
    <w:rsid w:val="0084113E"/>
    <w:rsid w:val="00873125"/>
    <w:rsid w:val="008B03E6"/>
    <w:rsid w:val="008B2709"/>
    <w:rsid w:val="008C000C"/>
    <w:rsid w:val="008F0052"/>
    <w:rsid w:val="00913CF9"/>
    <w:rsid w:val="00914885"/>
    <w:rsid w:val="0094170A"/>
    <w:rsid w:val="009833C2"/>
    <w:rsid w:val="009D0D81"/>
    <w:rsid w:val="009E4EFD"/>
    <w:rsid w:val="00A01D2D"/>
    <w:rsid w:val="00A26E3C"/>
    <w:rsid w:val="00AE10D5"/>
    <w:rsid w:val="00B40785"/>
    <w:rsid w:val="00B47542"/>
    <w:rsid w:val="00B61374"/>
    <w:rsid w:val="00BE7680"/>
    <w:rsid w:val="00C1142B"/>
    <w:rsid w:val="00C1417F"/>
    <w:rsid w:val="00C22C52"/>
    <w:rsid w:val="00C35959"/>
    <w:rsid w:val="00C669CD"/>
    <w:rsid w:val="00C7019D"/>
    <w:rsid w:val="00C82349"/>
    <w:rsid w:val="00CA0B6A"/>
    <w:rsid w:val="00CA3622"/>
    <w:rsid w:val="00CE35FD"/>
    <w:rsid w:val="00CF268D"/>
    <w:rsid w:val="00CF6401"/>
    <w:rsid w:val="00D31B48"/>
    <w:rsid w:val="00D746A5"/>
    <w:rsid w:val="00DA42FF"/>
    <w:rsid w:val="00DB61C4"/>
    <w:rsid w:val="00DC1340"/>
    <w:rsid w:val="00DE21E3"/>
    <w:rsid w:val="00DE2D49"/>
    <w:rsid w:val="00DE4175"/>
    <w:rsid w:val="00E167C3"/>
    <w:rsid w:val="00E404E2"/>
    <w:rsid w:val="00E649BB"/>
    <w:rsid w:val="00E84FF1"/>
    <w:rsid w:val="00EC19CC"/>
    <w:rsid w:val="00F75689"/>
    <w:rsid w:val="00FA22F0"/>
    <w:rsid w:val="00FC7397"/>
    <w:rsid w:val="00FE6DAB"/>
    <w:rsid w:val="00FF5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56C6"/>
  <w15:docId w15:val="{DD4E92CF-2C25-4F5F-BCBF-309B19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F95"/>
    <w:pPr>
      <w:spacing w:after="0" w:line="240" w:lineRule="auto"/>
    </w:pPr>
  </w:style>
  <w:style w:type="character" w:styleId="CommentReference">
    <w:name w:val="annotation reference"/>
    <w:basedOn w:val="DefaultParagraphFont"/>
    <w:uiPriority w:val="99"/>
    <w:semiHidden/>
    <w:unhideWhenUsed/>
    <w:rsid w:val="0094170A"/>
    <w:rPr>
      <w:sz w:val="16"/>
      <w:szCs w:val="16"/>
    </w:rPr>
  </w:style>
  <w:style w:type="paragraph" w:styleId="CommentText">
    <w:name w:val="annotation text"/>
    <w:basedOn w:val="Normal"/>
    <w:link w:val="CommentTextChar"/>
    <w:uiPriority w:val="99"/>
    <w:semiHidden/>
    <w:unhideWhenUsed/>
    <w:rsid w:val="0094170A"/>
    <w:pPr>
      <w:spacing w:line="240" w:lineRule="auto"/>
    </w:pPr>
    <w:rPr>
      <w:sz w:val="20"/>
      <w:szCs w:val="20"/>
    </w:rPr>
  </w:style>
  <w:style w:type="character" w:customStyle="1" w:styleId="CommentTextChar">
    <w:name w:val="Comment Text Char"/>
    <w:basedOn w:val="DefaultParagraphFont"/>
    <w:link w:val="CommentText"/>
    <w:uiPriority w:val="99"/>
    <w:semiHidden/>
    <w:rsid w:val="0094170A"/>
    <w:rPr>
      <w:sz w:val="20"/>
      <w:szCs w:val="20"/>
    </w:rPr>
  </w:style>
  <w:style w:type="paragraph" w:styleId="CommentSubject">
    <w:name w:val="annotation subject"/>
    <w:basedOn w:val="CommentText"/>
    <w:next w:val="CommentText"/>
    <w:link w:val="CommentSubjectChar"/>
    <w:uiPriority w:val="99"/>
    <w:semiHidden/>
    <w:unhideWhenUsed/>
    <w:rsid w:val="0094170A"/>
    <w:rPr>
      <w:b/>
      <w:bCs/>
    </w:rPr>
  </w:style>
  <w:style w:type="character" w:customStyle="1" w:styleId="CommentSubjectChar">
    <w:name w:val="Comment Subject Char"/>
    <w:basedOn w:val="CommentTextChar"/>
    <w:link w:val="CommentSubject"/>
    <w:uiPriority w:val="99"/>
    <w:semiHidden/>
    <w:rsid w:val="0094170A"/>
    <w:rPr>
      <w:b/>
      <w:bCs/>
      <w:sz w:val="20"/>
      <w:szCs w:val="20"/>
    </w:rPr>
  </w:style>
  <w:style w:type="character" w:styleId="Hyperlink">
    <w:name w:val="Hyperlink"/>
    <w:basedOn w:val="DefaultParagraphFont"/>
    <w:uiPriority w:val="99"/>
    <w:unhideWhenUsed/>
    <w:rsid w:val="003D5642"/>
    <w:rPr>
      <w:color w:val="0000FF" w:themeColor="hyperlink"/>
      <w:u w:val="single"/>
    </w:rPr>
  </w:style>
  <w:style w:type="table" w:customStyle="1" w:styleId="GridTable2-Accent11">
    <w:name w:val="Grid Table 2 - Accent 11"/>
    <w:basedOn w:val="TableNormal"/>
    <w:uiPriority w:val="47"/>
    <w:rsid w:val="00332D3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632711960">
      <w:bodyDiv w:val="1"/>
      <w:marLeft w:val="0"/>
      <w:marRight w:val="0"/>
      <w:marTop w:val="0"/>
      <w:marBottom w:val="0"/>
      <w:divBdr>
        <w:top w:val="none" w:sz="0" w:space="0" w:color="auto"/>
        <w:left w:val="none" w:sz="0" w:space="0" w:color="auto"/>
        <w:bottom w:val="none" w:sz="0" w:space="0" w:color="auto"/>
        <w:right w:val="none" w:sz="0" w:space="0" w:color="auto"/>
      </w:divBdr>
    </w:div>
    <w:div w:id="636761207">
      <w:bodyDiv w:val="1"/>
      <w:marLeft w:val="0"/>
      <w:marRight w:val="0"/>
      <w:marTop w:val="0"/>
      <w:marBottom w:val="0"/>
      <w:divBdr>
        <w:top w:val="none" w:sz="0" w:space="0" w:color="auto"/>
        <w:left w:val="none" w:sz="0" w:space="0" w:color="auto"/>
        <w:bottom w:val="none" w:sz="0" w:space="0" w:color="auto"/>
        <w:right w:val="none" w:sz="0" w:space="0" w:color="auto"/>
      </w:divBdr>
    </w:div>
    <w:div w:id="1439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7BF7-E200-47E3-B08A-78993FFE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Bevins</dc:creator>
  <cp:lastModifiedBy>Congo</cp:lastModifiedBy>
  <cp:revision>5</cp:revision>
  <cp:lastPrinted>2012-10-05T18:45:00Z</cp:lastPrinted>
  <dcterms:created xsi:type="dcterms:W3CDTF">2016-10-10T13:26:00Z</dcterms:created>
  <dcterms:modified xsi:type="dcterms:W3CDTF">2016-10-10T13:57:00Z</dcterms:modified>
</cp:coreProperties>
</file>