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682B9" w14:textId="006CAE55" w:rsidR="008E4B5A" w:rsidRPr="008E4B5A" w:rsidRDefault="001B7038" w:rsidP="0060771B">
      <w:pPr>
        <w:pStyle w:val="NoSpacing"/>
        <w:jc w:val="center"/>
        <w:rPr>
          <w:b/>
          <w:bCs/>
          <w:sz w:val="28"/>
          <w:szCs w:val="28"/>
        </w:rPr>
      </w:pPr>
      <w:r w:rsidRPr="001A290B">
        <w:rPr>
          <w:b/>
          <w:bCs/>
          <w:sz w:val="40"/>
          <w:szCs w:val="40"/>
        </w:rPr>
        <w:t>Overview of LWR Indicator Documents:</w:t>
      </w:r>
    </w:p>
    <w:p w14:paraId="58956C9E" w14:textId="77777777" w:rsidR="00F4527D" w:rsidRDefault="00F4527D" w:rsidP="00F4527D">
      <w:pPr>
        <w:pStyle w:val="NoSpacing"/>
      </w:pPr>
      <w:bookmarkStart w:id="0" w:name="_GoBack"/>
      <w:bookmarkEnd w:id="0"/>
    </w:p>
    <w:tbl>
      <w:tblPr>
        <w:tblStyle w:val="TableGrid"/>
        <w:tblW w:w="0" w:type="auto"/>
        <w:tblLook w:val="04A0" w:firstRow="1" w:lastRow="0" w:firstColumn="1" w:lastColumn="0" w:noHBand="0" w:noVBand="1"/>
      </w:tblPr>
      <w:tblGrid>
        <w:gridCol w:w="2605"/>
        <w:gridCol w:w="4050"/>
        <w:gridCol w:w="4135"/>
      </w:tblGrid>
      <w:tr w:rsidR="00F4527D" w14:paraId="2B09EC60" w14:textId="77777777" w:rsidTr="00607FDC">
        <w:tc>
          <w:tcPr>
            <w:tcW w:w="2605" w:type="dxa"/>
            <w:shd w:val="clear" w:color="auto" w:fill="92D050"/>
          </w:tcPr>
          <w:p w14:paraId="20D2587A" w14:textId="5B30CED4" w:rsidR="00F4527D" w:rsidRPr="00225B1B" w:rsidRDefault="00F4527D" w:rsidP="008D33F3">
            <w:pPr>
              <w:pStyle w:val="NoSpacing"/>
              <w:jc w:val="center"/>
              <w:rPr>
                <w:b/>
                <w:bCs/>
                <w:sz w:val="24"/>
                <w:szCs w:val="22"/>
              </w:rPr>
            </w:pPr>
            <w:r w:rsidRPr="00225B1B">
              <w:rPr>
                <w:b/>
                <w:bCs/>
                <w:sz w:val="24"/>
                <w:szCs w:val="22"/>
              </w:rPr>
              <w:t>Document</w:t>
            </w:r>
          </w:p>
        </w:tc>
        <w:tc>
          <w:tcPr>
            <w:tcW w:w="4050" w:type="dxa"/>
            <w:shd w:val="clear" w:color="auto" w:fill="92D050"/>
          </w:tcPr>
          <w:p w14:paraId="40991477" w14:textId="042DA759" w:rsidR="00F4527D" w:rsidRPr="00225B1B" w:rsidRDefault="00F4527D" w:rsidP="008D33F3">
            <w:pPr>
              <w:pStyle w:val="NoSpacing"/>
              <w:jc w:val="center"/>
              <w:rPr>
                <w:b/>
                <w:bCs/>
                <w:sz w:val="24"/>
                <w:szCs w:val="22"/>
              </w:rPr>
            </w:pPr>
            <w:r w:rsidRPr="00225B1B">
              <w:rPr>
                <w:b/>
                <w:bCs/>
                <w:sz w:val="24"/>
                <w:szCs w:val="22"/>
              </w:rPr>
              <w:t>What’s in it?</w:t>
            </w:r>
          </w:p>
        </w:tc>
        <w:tc>
          <w:tcPr>
            <w:tcW w:w="4135" w:type="dxa"/>
            <w:shd w:val="clear" w:color="auto" w:fill="92D050"/>
          </w:tcPr>
          <w:p w14:paraId="4BB2F265" w14:textId="113F52E4" w:rsidR="00F4527D" w:rsidRPr="00225B1B" w:rsidRDefault="00F4527D" w:rsidP="008D33F3">
            <w:pPr>
              <w:pStyle w:val="NoSpacing"/>
              <w:jc w:val="center"/>
              <w:rPr>
                <w:b/>
                <w:bCs/>
                <w:sz w:val="24"/>
                <w:szCs w:val="22"/>
              </w:rPr>
            </w:pPr>
            <w:r w:rsidRPr="00225B1B">
              <w:rPr>
                <w:b/>
                <w:bCs/>
                <w:sz w:val="24"/>
                <w:szCs w:val="22"/>
              </w:rPr>
              <w:t>How and When to use it</w:t>
            </w:r>
          </w:p>
        </w:tc>
      </w:tr>
      <w:tr w:rsidR="00F4527D" w14:paraId="192BDA83" w14:textId="77777777" w:rsidTr="00607FDC">
        <w:tc>
          <w:tcPr>
            <w:tcW w:w="2605" w:type="dxa"/>
            <w:vAlign w:val="center"/>
          </w:tcPr>
          <w:p w14:paraId="36BDF6FE" w14:textId="4D946170" w:rsidR="00D07F23" w:rsidRPr="00225B1B" w:rsidRDefault="00D07F23" w:rsidP="00F4527D">
            <w:pPr>
              <w:pStyle w:val="NoSpacing"/>
              <w:rPr>
                <w:b/>
                <w:bCs/>
                <w:sz w:val="24"/>
                <w:szCs w:val="22"/>
              </w:rPr>
            </w:pPr>
            <w:r w:rsidRPr="00225B1B">
              <w:rPr>
                <w:b/>
                <w:bCs/>
                <w:sz w:val="24"/>
                <w:szCs w:val="22"/>
              </w:rPr>
              <w:t>General Indicator Guidance</w:t>
            </w:r>
          </w:p>
        </w:tc>
        <w:tc>
          <w:tcPr>
            <w:tcW w:w="4050" w:type="dxa"/>
          </w:tcPr>
          <w:p w14:paraId="30B93921" w14:textId="7F884BE4" w:rsidR="00F4527D" w:rsidRDefault="00663066" w:rsidP="00F4527D">
            <w:pPr>
              <w:pStyle w:val="NoSpacing"/>
            </w:pPr>
            <w:r>
              <w:t xml:space="preserve">The </w:t>
            </w:r>
            <w:r w:rsidR="00D07F23">
              <w:t>What, Why, How,</w:t>
            </w:r>
            <w:r>
              <w:t xml:space="preserve"> and</w:t>
            </w:r>
            <w:r w:rsidR="00D07F23">
              <w:t xml:space="preserve"> When for </w:t>
            </w:r>
            <w:r>
              <w:t xml:space="preserve">choosing and developing </w:t>
            </w:r>
            <w:r w:rsidR="00D07F23">
              <w:t>indicators</w:t>
            </w:r>
            <w:r>
              <w:t>.</w:t>
            </w:r>
          </w:p>
        </w:tc>
        <w:tc>
          <w:tcPr>
            <w:tcW w:w="4135" w:type="dxa"/>
          </w:tcPr>
          <w:p w14:paraId="4CD16C12" w14:textId="01FE2243" w:rsidR="00F4527D" w:rsidRDefault="00F11B25" w:rsidP="00F4527D">
            <w:pPr>
              <w:pStyle w:val="NoSpacing"/>
            </w:pPr>
            <w:r>
              <w:t xml:space="preserve">It is suggested to read this document </w:t>
            </w:r>
            <w:r w:rsidR="00D07F23">
              <w:t xml:space="preserve">before </w:t>
            </w:r>
            <w:r>
              <w:t xml:space="preserve">using the other indicator documents and before </w:t>
            </w:r>
            <w:r w:rsidR="00D07F23">
              <w:t xml:space="preserve">beginning </w:t>
            </w:r>
            <w:r>
              <w:t xml:space="preserve">a </w:t>
            </w:r>
            <w:r w:rsidR="00D07F23">
              <w:t>project proposal</w:t>
            </w:r>
            <w:r w:rsidR="00663066">
              <w:t xml:space="preserve">. </w:t>
            </w:r>
          </w:p>
        </w:tc>
      </w:tr>
      <w:tr w:rsidR="00D07F23" w14:paraId="635D842F" w14:textId="77777777" w:rsidTr="00607FDC">
        <w:tc>
          <w:tcPr>
            <w:tcW w:w="2605" w:type="dxa"/>
            <w:vAlign w:val="center"/>
          </w:tcPr>
          <w:p w14:paraId="426AA39D" w14:textId="257FE2E1" w:rsidR="00D07F23" w:rsidRPr="00225B1B" w:rsidRDefault="00D07F23" w:rsidP="00D07F23">
            <w:pPr>
              <w:pStyle w:val="NoSpacing"/>
              <w:rPr>
                <w:b/>
                <w:bCs/>
                <w:sz w:val="24"/>
                <w:szCs w:val="22"/>
              </w:rPr>
            </w:pPr>
            <w:r w:rsidRPr="00225B1B">
              <w:rPr>
                <w:b/>
                <w:bCs/>
                <w:sz w:val="24"/>
                <w:szCs w:val="22"/>
              </w:rPr>
              <w:t>Indicator Guidance Matrix</w:t>
            </w:r>
          </w:p>
        </w:tc>
        <w:tc>
          <w:tcPr>
            <w:tcW w:w="4050" w:type="dxa"/>
          </w:tcPr>
          <w:p w14:paraId="10139794" w14:textId="5B8AF53B" w:rsidR="00D07F23" w:rsidRDefault="00303F7B" w:rsidP="00303F7B">
            <w:pPr>
              <w:pStyle w:val="NoSpacing"/>
            </w:pPr>
            <w:r>
              <w:t>Contains sample indicators for each core program area broken down by output and outcome. It also contains qualitative considerations and external guidance for each indicator</w:t>
            </w:r>
          </w:p>
        </w:tc>
        <w:tc>
          <w:tcPr>
            <w:tcW w:w="4135" w:type="dxa"/>
          </w:tcPr>
          <w:p w14:paraId="5AAABE90" w14:textId="6DC86970" w:rsidR="00D07F23" w:rsidRDefault="00727F12" w:rsidP="00E475B0">
            <w:pPr>
              <w:pStyle w:val="NoSpacing"/>
            </w:pPr>
            <w:r>
              <w:t>Use to</w:t>
            </w:r>
            <w:r w:rsidR="00303F7B">
              <w:t xml:space="preserve"> select indicators at output, outcome and impact levels. Use the tabs to find indicators for the core program area you are working in. </w:t>
            </w:r>
            <w:r w:rsidR="00175664">
              <w:t xml:space="preserve">These matrices are not exhaustive and are not universally applicable to all agriculture projects. </w:t>
            </w:r>
            <w:r>
              <w:t xml:space="preserve">Use alongside the Glossary and Additional Resources to develop the entire collection of indicators </w:t>
            </w:r>
            <w:r w:rsidR="00175664">
              <w:t xml:space="preserve">that meet the contextual needs </w:t>
            </w:r>
            <w:r>
              <w:t>o</w:t>
            </w:r>
            <w:r w:rsidR="00175664">
              <w:t>f</w:t>
            </w:r>
            <w:r>
              <w:t xml:space="preserve"> a project. </w:t>
            </w:r>
          </w:p>
        </w:tc>
      </w:tr>
      <w:tr w:rsidR="0081738A" w14:paraId="7AAB7B7D" w14:textId="77777777" w:rsidTr="00607FDC">
        <w:tc>
          <w:tcPr>
            <w:tcW w:w="2605" w:type="dxa"/>
            <w:vAlign w:val="center"/>
          </w:tcPr>
          <w:p w14:paraId="2ED944FC" w14:textId="69E17A75" w:rsidR="0081738A" w:rsidRPr="00225B1B" w:rsidRDefault="0081738A" w:rsidP="0081738A">
            <w:pPr>
              <w:pStyle w:val="NoSpacing"/>
              <w:rPr>
                <w:b/>
                <w:bCs/>
                <w:sz w:val="24"/>
                <w:szCs w:val="22"/>
              </w:rPr>
            </w:pPr>
            <w:r w:rsidRPr="00225B1B">
              <w:rPr>
                <w:b/>
                <w:bCs/>
                <w:sz w:val="24"/>
                <w:szCs w:val="22"/>
              </w:rPr>
              <w:t>Glossary of Technical Terms and Indicators</w:t>
            </w:r>
          </w:p>
        </w:tc>
        <w:tc>
          <w:tcPr>
            <w:tcW w:w="4050" w:type="dxa"/>
          </w:tcPr>
          <w:p w14:paraId="60384CAA" w14:textId="0A23CC8C" w:rsidR="0081738A" w:rsidRDefault="0081738A" w:rsidP="0081738A">
            <w:pPr>
              <w:pStyle w:val="NoSpacing"/>
            </w:pPr>
            <w:r>
              <w:t>Definitions of key indicator terms, methodological considerations, examples, and links to external indicator guidance.</w:t>
            </w:r>
          </w:p>
        </w:tc>
        <w:tc>
          <w:tcPr>
            <w:tcW w:w="4135" w:type="dxa"/>
          </w:tcPr>
          <w:p w14:paraId="6AE1FCC8" w14:textId="1A6ADBDF" w:rsidR="0081738A" w:rsidRDefault="0081738A" w:rsidP="0081738A">
            <w:pPr>
              <w:pStyle w:val="NoSpacing"/>
            </w:pPr>
            <w:r>
              <w:t>The document is organized by core program area. Use as a reference to make sure indicators and projects use the included terms and/or indicators correctly. This is a living document that will be periodically updated.</w:t>
            </w:r>
          </w:p>
        </w:tc>
      </w:tr>
      <w:tr w:rsidR="009F4413" w14:paraId="2F0939DD" w14:textId="77777777" w:rsidTr="00607FDC">
        <w:tc>
          <w:tcPr>
            <w:tcW w:w="2605" w:type="dxa"/>
            <w:vAlign w:val="center"/>
          </w:tcPr>
          <w:p w14:paraId="64541992" w14:textId="5AA32C56" w:rsidR="009F4413" w:rsidRPr="00225B1B" w:rsidRDefault="009F4413" w:rsidP="009F4413">
            <w:pPr>
              <w:pStyle w:val="NoSpacing"/>
              <w:rPr>
                <w:b/>
                <w:bCs/>
                <w:sz w:val="24"/>
                <w:szCs w:val="22"/>
              </w:rPr>
            </w:pPr>
            <w:r w:rsidRPr="00225B1B">
              <w:rPr>
                <w:b/>
                <w:bCs/>
                <w:sz w:val="24"/>
                <w:szCs w:val="22"/>
              </w:rPr>
              <w:t>Indicator Checklists</w:t>
            </w:r>
          </w:p>
        </w:tc>
        <w:tc>
          <w:tcPr>
            <w:tcW w:w="4050" w:type="dxa"/>
          </w:tcPr>
          <w:p w14:paraId="0965F08D" w14:textId="40E8B8C8" w:rsidR="009F4413" w:rsidRDefault="009F4413" w:rsidP="009F4413">
            <w:pPr>
              <w:pStyle w:val="NoSpacing"/>
            </w:pPr>
            <w:r>
              <w:t xml:space="preserve">3 checklists for validating indicators: two help ensure indicators are developed according to the correct procedure, one helps check indicators for adherence to USAID criteria. </w:t>
            </w:r>
          </w:p>
        </w:tc>
        <w:tc>
          <w:tcPr>
            <w:tcW w:w="4135" w:type="dxa"/>
          </w:tcPr>
          <w:p w14:paraId="26CA0407" w14:textId="3B05ACD2" w:rsidR="009F4413" w:rsidRDefault="009F4413" w:rsidP="009F4413">
            <w:pPr>
              <w:pStyle w:val="NoSpacing"/>
            </w:pPr>
            <w:r>
              <w:t xml:space="preserve">Use to validate the quality of indicators after they are developed. Work through the checklists to make sure no steps/criteria are absent. </w:t>
            </w:r>
          </w:p>
        </w:tc>
      </w:tr>
      <w:tr w:rsidR="009F4413" w14:paraId="1226AA2D" w14:textId="77777777" w:rsidTr="00607FDC">
        <w:tc>
          <w:tcPr>
            <w:tcW w:w="2605" w:type="dxa"/>
            <w:vAlign w:val="center"/>
          </w:tcPr>
          <w:p w14:paraId="2AED326D" w14:textId="1081B8A8" w:rsidR="009F4413" w:rsidRPr="00225B1B" w:rsidRDefault="009F4413" w:rsidP="009F4413">
            <w:pPr>
              <w:pStyle w:val="NoSpacing"/>
              <w:rPr>
                <w:b/>
                <w:bCs/>
                <w:sz w:val="24"/>
                <w:szCs w:val="22"/>
              </w:rPr>
            </w:pPr>
            <w:r w:rsidRPr="00225B1B">
              <w:rPr>
                <w:b/>
                <w:bCs/>
                <w:sz w:val="24"/>
                <w:szCs w:val="22"/>
              </w:rPr>
              <w:t>Additional Resources</w:t>
            </w:r>
          </w:p>
        </w:tc>
        <w:tc>
          <w:tcPr>
            <w:tcW w:w="4050" w:type="dxa"/>
          </w:tcPr>
          <w:p w14:paraId="68B45A8F" w14:textId="5B95B2D0" w:rsidR="009F4413" w:rsidRDefault="009F4413" w:rsidP="009F4413">
            <w:pPr>
              <w:pStyle w:val="NoSpacing"/>
            </w:pPr>
            <w:r>
              <w:t xml:space="preserve">Links to guides and resources from external sources. </w:t>
            </w:r>
          </w:p>
        </w:tc>
        <w:tc>
          <w:tcPr>
            <w:tcW w:w="4135" w:type="dxa"/>
          </w:tcPr>
          <w:p w14:paraId="6A030D6B" w14:textId="6D81F8F8" w:rsidR="009F4413" w:rsidRDefault="009F4413" w:rsidP="00ED36F0">
            <w:pPr>
              <w:pStyle w:val="NoSpacing"/>
            </w:pPr>
            <w:r>
              <w:t>Use to access a comprehensive list of the external indicator resources (USAID, FAO, IFPRI, etc.) that are linked to the indicators in the Indicator Guidance Matrix. These external resources can be used for more in-depth and technical understanding on how to define and measure indicators. This is a living document that will be periodically updated.</w:t>
            </w:r>
          </w:p>
        </w:tc>
      </w:tr>
      <w:tr w:rsidR="009F4413" w14:paraId="69877A6F" w14:textId="77777777" w:rsidTr="00607FDC">
        <w:tc>
          <w:tcPr>
            <w:tcW w:w="2605" w:type="dxa"/>
            <w:vAlign w:val="center"/>
          </w:tcPr>
          <w:p w14:paraId="5B87C651" w14:textId="3D54FCDD" w:rsidR="009F4413" w:rsidRPr="00225B1B" w:rsidRDefault="009F4413" w:rsidP="009F4413">
            <w:pPr>
              <w:pStyle w:val="NoSpacing"/>
              <w:rPr>
                <w:b/>
                <w:bCs/>
                <w:sz w:val="24"/>
                <w:szCs w:val="22"/>
              </w:rPr>
            </w:pPr>
            <w:r w:rsidRPr="00225B1B">
              <w:rPr>
                <w:b/>
                <w:bCs/>
                <w:sz w:val="24"/>
                <w:szCs w:val="22"/>
              </w:rPr>
              <w:t>Example M&amp;E Matri</w:t>
            </w:r>
            <w:r>
              <w:rPr>
                <w:b/>
                <w:bCs/>
                <w:sz w:val="24"/>
                <w:szCs w:val="22"/>
              </w:rPr>
              <w:t>x</w:t>
            </w:r>
          </w:p>
        </w:tc>
        <w:tc>
          <w:tcPr>
            <w:tcW w:w="4050" w:type="dxa"/>
          </w:tcPr>
          <w:p w14:paraId="02CFE919" w14:textId="0075913E" w:rsidR="009F4413" w:rsidRDefault="009F4413" w:rsidP="009F4413">
            <w:pPr>
              <w:pStyle w:val="NoSpacing"/>
            </w:pPr>
            <w:r>
              <w:t>Completed M&amp;E Matrix with examples at the Outcome and Output level.</w:t>
            </w:r>
          </w:p>
        </w:tc>
        <w:tc>
          <w:tcPr>
            <w:tcW w:w="4135" w:type="dxa"/>
          </w:tcPr>
          <w:p w14:paraId="7D2E051F" w14:textId="39519AAA" w:rsidR="009F4413" w:rsidRDefault="009F4413" w:rsidP="009F4413">
            <w:pPr>
              <w:pStyle w:val="NoSpacing"/>
            </w:pPr>
            <w:r>
              <w:t xml:space="preserve">Use to help understand how to operationalize (definition, calculation, responsibilities, templates, etc.) indicators. </w:t>
            </w:r>
          </w:p>
        </w:tc>
      </w:tr>
      <w:tr w:rsidR="009473E4" w14:paraId="320F9C21" w14:textId="77777777" w:rsidTr="00607FDC">
        <w:tc>
          <w:tcPr>
            <w:tcW w:w="2605" w:type="dxa"/>
            <w:vAlign w:val="center"/>
          </w:tcPr>
          <w:p w14:paraId="35AE1A3F" w14:textId="49DD1819" w:rsidR="009473E4" w:rsidRPr="00225B1B" w:rsidRDefault="009473E4" w:rsidP="009F4413">
            <w:pPr>
              <w:pStyle w:val="NoSpacing"/>
              <w:rPr>
                <w:b/>
                <w:bCs/>
                <w:sz w:val="24"/>
                <w:szCs w:val="22"/>
              </w:rPr>
            </w:pPr>
            <w:r>
              <w:rPr>
                <w:b/>
                <w:bCs/>
                <w:sz w:val="24"/>
                <w:szCs w:val="22"/>
              </w:rPr>
              <w:t>Gender Integration Guidance (GIG) Sheets</w:t>
            </w:r>
          </w:p>
        </w:tc>
        <w:tc>
          <w:tcPr>
            <w:tcW w:w="4050" w:type="dxa"/>
          </w:tcPr>
          <w:p w14:paraId="127331E0" w14:textId="77777777" w:rsidR="009473E4" w:rsidRDefault="007415A7" w:rsidP="007415A7">
            <w:pPr>
              <w:pStyle w:val="NoSpacing"/>
              <w:numPr>
                <w:ilvl w:val="0"/>
                <w:numId w:val="2"/>
              </w:numPr>
            </w:pPr>
            <w:r>
              <w:t>Gender Integration Overview</w:t>
            </w:r>
          </w:p>
          <w:p w14:paraId="73058395" w14:textId="77777777" w:rsidR="007415A7" w:rsidRDefault="007415A7" w:rsidP="007415A7">
            <w:pPr>
              <w:pStyle w:val="NoSpacing"/>
              <w:numPr>
                <w:ilvl w:val="0"/>
                <w:numId w:val="2"/>
              </w:numPr>
            </w:pPr>
            <w:r>
              <w:t>GIG Needs Assessment</w:t>
            </w:r>
          </w:p>
          <w:p w14:paraId="548BA0F3" w14:textId="77777777" w:rsidR="007415A7" w:rsidRDefault="007415A7" w:rsidP="007415A7">
            <w:pPr>
              <w:pStyle w:val="NoSpacing"/>
              <w:numPr>
                <w:ilvl w:val="0"/>
                <w:numId w:val="2"/>
              </w:numPr>
            </w:pPr>
            <w:r>
              <w:t>GIG Problem Analysis Objectives</w:t>
            </w:r>
          </w:p>
          <w:p w14:paraId="37F4E192" w14:textId="77777777" w:rsidR="007415A7" w:rsidRDefault="007415A7" w:rsidP="007415A7">
            <w:pPr>
              <w:pStyle w:val="NoSpacing"/>
              <w:numPr>
                <w:ilvl w:val="0"/>
                <w:numId w:val="2"/>
              </w:numPr>
            </w:pPr>
            <w:r>
              <w:t>GIG Indicators</w:t>
            </w:r>
          </w:p>
          <w:p w14:paraId="34BE9BF3" w14:textId="77777777" w:rsidR="007415A7" w:rsidRDefault="007415A7" w:rsidP="007415A7">
            <w:pPr>
              <w:pStyle w:val="NoSpacing"/>
              <w:numPr>
                <w:ilvl w:val="0"/>
                <w:numId w:val="2"/>
              </w:numPr>
            </w:pPr>
            <w:r>
              <w:t>GIG Implementing</w:t>
            </w:r>
          </w:p>
          <w:p w14:paraId="107F5618" w14:textId="77777777" w:rsidR="007415A7" w:rsidRDefault="007415A7" w:rsidP="007415A7">
            <w:pPr>
              <w:pStyle w:val="NoSpacing"/>
              <w:numPr>
                <w:ilvl w:val="0"/>
                <w:numId w:val="2"/>
              </w:numPr>
            </w:pPr>
            <w:r>
              <w:t>GIG Evaluating (forthcoming)</w:t>
            </w:r>
          </w:p>
          <w:p w14:paraId="7DB49B54" w14:textId="77777777" w:rsidR="007415A7" w:rsidRDefault="007415A7" w:rsidP="007415A7">
            <w:pPr>
              <w:pStyle w:val="NoSpacing"/>
              <w:numPr>
                <w:ilvl w:val="0"/>
                <w:numId w:val="2"/>
              </w:numPr>
            </w:pPr>
            <w:r>
              <w:t>GIG Frequently Asked Questions</w:t>
            </w:r>
          </w:p>
          <w:p w14:paraId="7331B934" w14:textId="6FA98F91" w:rsidR="007415A7" w:rsidRDefault="007415A7" w:rsidP="007415A7">
            <w:pPr>
              <w:pStyle w:val="NoSpacing"/>
              <w:numPr>
                <w:ilvl w:val="0"/>
                <w:numId w:val="2"/>
              </w:numPr>
            </w:pPr>
            <w:r>
              <w:t>Resources on Gender Integration and Analysis</w:t>
            </w:r>
          </w:p>
        </w:tc>
        <w:tc>
          <w:tcPr>
            <w:tcW w:w="4135" w:type="dxa"/>
          </w:tcPr>
          <w:p w14:paraId="559AE352" w14:textId="565FA3D3" w:rsidR="009473E4" w:rsidRDefault="00ED36F0" w:rsidP="00CE743E">
            <w:pPr>
              <w:pStyle w:val="NoSpacing"/>
            </w:pPr>
            <w:r>
              <w:t xml:space="preserve">Use to help </w:t>
            </w:r>
            <w:r w:rsidR="00D850C5">
              <w:t xml:space="preserve">determine when indicators should be sex-disaggregated, </w:t>
            </w:r>
            <w:r w:rsidR="00CE743E">
              <w:t>identify gender-sensitive or gender-</w:t>
            </w:r>
            <w:r w:rsidR="00D850C5">
              <w:t xml:space="preserve">specific indicators, </w:t>
            </w:r>
            <w:r w:rsidR="00200AFA">
              <w:t xml:space="preserve">provide guidance on measuring gender gaps, </w:t>
            </w:r>
            <w:r w:rsidR="00D850C5">
              <w:t xml:space="preserve">and to help set targets. </w:t>
            </w:r>
          </w:p>
        </w:tc>
      </w:tr>
    </w:tbl>
    <w:p w14:paraId="097C8E76" w14:textId="14B7F11D" w:rsidR="009E2BF0" w:rsidRPr="00C76525" w:rsidRDefault="009E2BF0" w:rsidP="00F4527D">
      <w:pPr>
        <w:pStyle w:val="NoSpacing"/>
      </w:pPr>
    </w:p>
    <w:sectPr w:rsidR="009E2BF0" w:rsidRPr="00C76525" w:rsidSect="00B641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753F"/>
    <w:multiLevelType w:val="hybridMultilevel"/>
    <w:tmpl w:val="C7B2A43E"/>
    <w:lvl w:ilvl="0" w:tplc="D4E25C1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C290C"/>
    <w:multiLevelType w:val="hybridMultilevel"/>
    <w:tmpl w:val="67BC3612"/>
    <w:lvl w:ilvl="0" w:tplc="9D24E51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38"/>
    <w:rsid w:val="00175664"/>
    <w:rsid w:val="001A290B"/>
    <w:rsid w:val="001B7038"/>
    <w:rsid w:val="00200AFA"/>
    <w:rsid w:val="00225B1B"/>
    <w:rsid w:val="00230085"/>
    <w:rsid w:val="00241837"/>
    <w:rsid w:val="002A2954"/>
    <w:rsid w:val="002F562A"/>
    <w:rsid w:val="00303F7B"/>
    <w:rsid w:val="00304584"/>
    <w:rsid w:val="0036621E"/>
    <w:rsid w:val="00424835"/>
    <w:rsid w:val="00497409"/>
    <w:rsid w:val="004F185E"/>
    <w:rsid w:val="00563B23"/>
    <w:rsid w:val="005B4BCC"/>
    <w:rsid w:val="005D2BFD"/>
    <w:rsid w:val="0060771B"/>
    <w:rsid w:val="00607FDC"/>
    <w:rsid w:val="006221B6"/>
    <w:rsid w:val="00663066"/>
    <w:rsid w:val="00727F12"/>
    <w:rsid w:val="007415A7"/>
    <w:rsid w:val="007B5445"/>
    <w:rsid w:val="007C5D03"/>
    <w:rsid w:val="00801CC5"/>
    <w:rsid w:val="008139E2"/>
    <w:rsid w:val="0081738A"/>
    <w:rsid w:val="00854BD0"/>
    <w:rsid w:val="008A1C4F"/>
    <w:rsid w:val="008D33F3"/>
    <w:rsid w:val="008E4B5A"/>
    <w:rsid w:val="0091723D"/>
    <w:rsid w:val="00931EDE"/>
    <w:rsid w:val="009473E4"/>
    <w:rsid w:val="009E2BF0"/>
    <w:rsid w:val="009F4413"/>
    <w:rsid w:val="00AC06C6"/>
    <w:rsid w:val="00B12974"/>
    <w:rsid w:val="00B62B6B"/>
    <w:rsid w:val="00B641D4"/>
    <w:rsid w:val="00BF2740"/>
    <w:rsid w:val="00C626CD"/>
    <w:rsid w:val="00C67C3E"/>
    <w:rsid w:val="00C76525"/>
    <w:rsid w:val="00CE743E"/>
    <w:rsid w:val="00D072F3"/>
    <w:rsid w:val="00D07F23"/>
    <w:rsid w:val="00D14872"/>
    <w:rsid w:val="00D548EB"/>
    <w:rsid w:val="00D850C5"/>
    <w:rsid w:val="00E475B0"/>
    <w:rsid w:val="00E72DB7"/>
    <w:rsid w:val="00ED36F0"/>
    <w:rsid w:val="00EE176C"/>
    <w:rsid w:val="00EE63C9"/>
    <w:rsid w:val="00F11B25"/>
    <w:rsid w:val="00F4527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AC5E"/>
  <w15:chartTrackingRefBased/>
  <w15:docId w15:val="{3A8A659A-FE32-4198-AD45-9D4D7C36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038"/>
    <w:pPr>
      <w:spacing w:after="0" w:line="240" w:lineRule="auto"/>
    </w:pPr>
  </w:style>
  <w:style w:type="character" w:styleId="CommentReference">
    <w:name w:val="annotation reference"/>
    <w:basedOn w:val="DefaultParagraphFont"/>
    <w:uiPriority w:val="99"/>
    <w:semiHidden/>
    <w:unhideWhenUsed/>
    <w:rsid w:val="001B7038"/>
    <w:rPr>
      <w:sz w:val="16"/>
      <w:szCs w:val="16"/>
    </w:rPr>
  </w:style>
  <w:style w:type="paragraph" w:styleId="CommentText">
    <w:name w:val="annotation text"/>
    <w:basedOn w:val="Normal"/>
    <w:link w:val="CommentTextChar"/>
    <w:uiPriority w:val="99"/>
    <w:semiHidden/>
    <w:unhideWhenUsed/>
    <w:rsid w:val="001B7038"/>
    <w:pPr>
      <w:spacing w:line="240" w:lineRule="auto"/>
    </w:pPr>
    <w:rPr>
      <w:sz w:val="20"/>
      <w:szCs w:val="18"/>
    </w:rPr>
  </w:style>
  <w:style w:type="character" w:customStyle="1" w:styleId="CommentTextChar">
    <w:name w:val="Comment Text Char"/>
    <w:basedOn w:val="DefaultParagraphFont"/>
    <w:link w:val="CommentText"/>
    <w:uiPriority w:val="99"/>
    <w:semiHidden/>
    <w:rsid w:val="001B7038"/>
    <w:rPr>
      <w:sz w:val="20"/>
      <w:szCs w:val="18"/>
    </w:rPr>
  </w:style>
  <w:style w:type="paragraph" w:styleId="BalloonText">
    <w:name w:val="Balloon Text"/>
    <w:basedOn w:val="Normal"/>
    <w:link w:val="BalloonTextChar"/>
    <w:uiPriority w:val="99"/>
    <w:semiHidden/>
    <w:unhideWhenUsed/>
    <w:rsid w:val="001B7038"/>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B7038"/>
    <w:rPr>
      <w:rFonts w:ascii="Segoe UI" w:hAnsi="Segoe UI" w:cs="Segoe UI"/>
      <w:sz w:val="18"/>
      <w:szCs w:val="16"/>
    </w:rPr>
  </w:style>
  <w:style w:type="character" w:styleId="Hyperlink">
    <w:name w:val="Hyperlink"/>
    <w:basedOn w:val="DefaultParagraphFont"/>
    <w:uiPriority w:val="99"/>
    <w:semiHidden/>
    <w:unhideWhenUsed/>
    <w:rsid w:val="00D14872"/>
    <w:rPr>
      <w:color w:val="0563C1"/>
      <w:u w:val="single"/>
    </w:rPr>
  </w:style>
  <w:style w:type="table" w:styleId="TableGrid">
    <w:name w:val="Table Grid"/>
    <w:basedOn w:val="TableNormal"/>
    <w:uiPriority w:val="39"/>
    <w:rsid w:val="00F45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72DB7"/>
    <w:rPr>
      <w:b/>
      <w:bCs/>
    </w:rPr>
  </w:style>
  <w:style w:type="character" w:customStyle="1" w:styleId="CommentSubjectChar">
    <w:name w:val="Comment Subject Char"/>
    <w:basedOn w:val="CommentTextChar"/>
    <w:link w:val="CommentSubject"/>
    <w:uiPriority w:val="99"/>
    <w:semiHidden/>
    <w:rsid w:val="00E72DB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06586">
      <w:bodyDiv w:val="1"/>
      <w:marLeft w:val="0"/>
      <w:marRight w:val="0"/>
      <w:marTop w:val="0"/>
      <w:marBottom w:val="0"/>
      <w:divBdr>
        <w:top w:val="none" w:sz="0" w:space="0" w:color="auto"/>
        <w:left w:val="none" w:sz="0" w:space="0" w:color="auto"/>
        <w:bottom w:val="none" w:sz="0" w:space="0" w:color="auto"/>
        <w:right w:val="none" w:sz="0" w:space="0" w:color="auto"/>
      </w:divBdr>
    </w:div>
    <w:div w:id="1802839633">
      <w:bodyDiv w:val="1"/>
      <w:marLeft w:val="0"/>
      <w:marRight w:val="0"/>
      <w:marTop w:val="0"/>
      <w:marBottom w:val="0"/>
      <w:divBdr>
        <w:top w:val="none" w:sz="0" w:space="0" w:color="auto"/>
        <w:left w:val="none" w:sz="0" w:space="0" w:color="auto"/>
        <w:bottom w:val="none" w:sz="0" w:space="0" w:color="auto"/>
        <w:right w:val="none" w:sz="0" w:space="0" w:color="auto"/>
      </w:divBdr>
    </w:div>
    <w:div w:id="2121103837">
      <w:bodyDiv w:val="1"/>
      <w:marLeft w:val="0"/>
      <w:marRight w:val="0"/>
      <w:marTop w:val="0"/>
      <w:marBottom w:val="0"/>
      <w:divBdr>
        <w:top w:val="none" w:sz="0" w:space="0" w:color="auto"/>
        <w:left w:val="none" w:sz="0" w:space="0" w:color="auto"/>
        <w:bottom w:val="none" w:sz="0" w:space="0" w:color="auto"/>
        <w:right w:val="none" w:sz="0" w:space="0" w:color="auto"/>
      </w:divBdr>
    </w:div>
    <w:div w:id="21374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13D99-2BC8-4047-8788-CB02D091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Laytham</dc:creator>
  <cp:keywords/>
  <dc:description/>
  <cp:lastModifiedBy>Wesley Laytham</cp:lastModifiedBy>
  <cp:revision>29</cp:revision>
  <cp:lastPrinted>2015-10-07T18:13:00Z</cp:lastPrinted>
  <dcterms:created xsi:type="dcterms:W3CDTF">2015-10-09T14:49:00Z</dcterms:created>
  <dcterms:modified xsi:type="dcterms:W3CDTF">2015-12-18T19:21:00Z</dcterms:modified>
</cp:coreProperties>
</file>