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AC72" w14:textId="03D6833D" w:rsidR="001B1542" w:rsidRPr="00C24180" w:rsidRDefault="001B1542" w:rsidP="001B1542">
      <w:pPr>
        <w:pStyle w:val="NoSpacing"/>
        <w:jc w:val="center"/>
        <w:rPr>
          <w:sz w:val="32"/>
          <w:szCs w:val="32"/>
        </w:rPr>
      </w:pPr>
      <w:r w:rsidRPr="00C24180">
        <w:rPr>
          <w:b/>
          <w:bCs/>
          <w:sz w:val="48"/>
          <w:szCs w:val="48"/>
        </w:rPr>
        <w:t>LWR Glossary of Technical Terms and Indicators: Agriculture</w:t>
      </w:r>
    </w:p>
    <w:p w14:paraId="7A1C4936" w14:textId="77777777" w:rsidR="001B1542" w:rsidRDefault="001B1542" w:rsidP="001B1542">
      <w:pPr>
        <w:pStyle w:val="NoSpacing"/>
        <w:jc w:val="center"/>
      </w:pPr>
    </w:p>
    <w:p w14:paraId="2247BCC7" w14:textId="1BDE908A" w:rsidR="001B1542" w:rsidRPr="00C24180" w:rsidRDefault="001B1542" w:rsidP="001B1542">
      <w:pPr>
        <w:pStyle w:val="NoSpacing"/>
      </w:pPr>
      <w:r>
        <w:t xml:space="preserve">This document provides a list of terms and indicators for common use in LWR programs. Some of the entries are standardized terms with technical definitions that should be used in the absence of overruling donor-required terminology. Other entries are established indicators and indices which, in the absence of overruling donor-requirements, can be adopted for use in measuring results for LWR projects. The entries include calculations, methodological considerations and links to external guidance when relevant. </w:t>
      </w:r>
      <w:r w:rsidR="00C24180">
        <w:t xml:space="preserve">The entries also include example indicators. </w:t>
      </w:r>
      <w:r w:rsidR="00C24180" w:rsidRPr="00C24180">
        <w:rPr>
          <w:b/>
          <w:bCs/>
        </w:rPr>
        <w:t>Note:</w:t>
      </w:r>
      <w:r w:rsidR="00C24180">
        <w:rPr>
          <w:b/>
          <w:bCs/>
        </w:rPr>
        <w:t xml:space="preserve"> </w:t>
      </w:r>
      <w:r w:rsidR="00C24180">
        <w:t xml:space="preserve">The example indicators provided are not an exhaustive list. The specific indicator definition and target population will depend on the project context. </w:t>
      </w:r>
    </w:p>
    <w:p w14:paraId="6DAB0B1A" w14:textId="77777777" w:rsidR="001B1542" w:rsidRDefault="001B1542" w:rsidP="001B1542">
      <w:pPr>
        <w:pStyle w:val="NoSpacing"/>
      </w:pPr>
    </w:p>
    <w:p w14:paraId="55D5D25D" w14:textId="445BAFF6" w:rsidR="001B1542" w:rsidRDefault="001B1542" w:rsidP="001B1542">
      <w:pPr>
        <w:pStyle w:val="NoSpacing"/>
      </w:pPr>
      <w:r>
        <w:t xml:space="preserve">The document is organized into </w:t>
      </w:r>
      <w:r w:rsidR="006E3D1D">
        <w:t>six</w:t>
      </w:r>
      <w:r>
        <w:t xml:space="preserve"> separate core program areas identified in the LWR objective strategy:</w:t>
      </w:r>
    </w:p>
    <w:p w14:paraId="06F4259C" w14:textId="60ADBF17" w:rsidR="001B1542" w:rsidRDefault="009F311F" w:rsidP="001B1542">
      <w:pPr>
        <w:pStyle w:val="NoSpacing"/>
        <w:numPr>
          <w:ilvl w:val="0"/>
          <w:numId w:val="4"/>
        </w:numPr>
      </w:pPr>
      <w:hyperlink w:anchor="Glossary_for_Agricultural_Value_Chain" w:history="1">
        <w:r w:rsidR="001B1542" w:rsidRPr="004B4AE2">
          <w:rPr>
            <w:rStyle w:val="Hyperlink"/>
          </w:rPr>
          <w:t>Agriculture Value Chain</w:t>
        </w:r>
      </w:hyperlink>
      <w:r w:rsidR="001B1542">
        <w:t xml:space="preserve"> </w:t>
      </w:r>
    </w:p>
    <w:p w14:paraId="56CFC38C" w14:textId="4FDFBC4D" w:rsidR="001B1542" w:rsidRDefault="009F311F" w:rsidP="001B1542">
      <w:pPr>
        <w:pStyle w:val="NoSpacing"/>
        <w:numPr>
          <w:ilvl w:val="0"/>
          <w:numId w:val="4"/>
        </w:numPr>
      </w:pPr>
      <w:hyperlink w:anchor="Glossary_for_Food_Security" w:history="1">
        <w:r w:rsidR="001B1542" w:rsidRPr="004B4AE2">
          <w:rPr>
            <w:rStyle w:val="Hyperlink"/>
          </w:rPr>
          <w:t>Food Security</w:t>
        </w:r>
      </w:hyperlink>
    </w:p>
    <w:p w14:paraId="7B8DA314" w14:textId="3BE746FE" w:rsidR="001B1542" w:rsidRDefault="009F311F" w:rsidP="001B1542">
      <w:pPr>
        <w:pStyle w:val="NoSpacing"/>
        <w:numPr>
          <w:ilvl w:val="0"/>
          <w:numId w:val="4"/>
        </w:numPr>
      </w:pPr>
      <w:hyperlink w:anchor="Glossary_for_Capacity_Development" w:history="1">
        <w:r w:rsidR="001B1542" w:rsidRPr="004B4AE2">
          <w:rPr>
            <w:rStyle w:val="Hyperlink"/>
          </w:rPr>
          <w:t>Capacity Building for Farmer Associations</w:t>
        </w:r>
      </w:hyperlink>
    </w:p>
    <w:p w14:paraId="7FBEF210" w14:textId="60C9E808" w:rsidR="001B1542" w:rsidRDefault="009F311F" w:rsidP="001B1542">
      <w:pPr>
        <w:pStyle w:val="NoSpacing"/>
        <w:numPr>
          <w:ilvl w:val="0"/>
          <w:numId w:val="4"/>
        </w:numPr>
      </w:pPr>
      <w:hyperlink w:anchor="Glossary_for_Financing_for_Rural_Produce" w:history="1">
        <w:r w:rsidR="001B1542" w:rsidRPr="004B4AE2">
          <w:rPr>
            <w:rStyle w:val="Hyperlink"/>
          </w:rPr>
          <w:t>Financing for Rural Producers</w:t>
        </w:r>
      </w:hyperlink>
    </w:p>
    <w:p w14:paraId="0AF82B72" w14:textId="53AF45DD" w:rsidR="001B1542" w:rsidRPr="006E3D1D" w:rsidRDefault="009F311F" w:rsidP="001B1542">
      <w:pPr>
        <w:pStyle w:val="NoSpacing"/>
        <w:numPr>
          <w:ilvl w:val="0"/>
          <w:numId w:val="4"/>
        </w:numPr>
        <w:rPr>
          <w:rStyle w:val="Hyperlink"/>
          <w:color w:val="auto"/>
          <w:u w:val="none"/>
        </w:rPr>
      </w:pPr>
      <w:hyperlink w:anchor="Glossary_for_Climate_Smart_Agriculture" w:history="1">
        <w:r w:rsidR="002B3CAE">
          <w:rPr>
            <w:rStyle w:val="Hyperlink"/>
          </w:rPr>
          <w:t>Climate-</w:t>
        </w:r>
        <w:r w:rsidR="001B1542" w:rsidRPr="004B4AE2">
          <w:rPr>
            <w:rStyle w:val="Hyperlink"/>
          </w:rPr>
          <w:t>Smart Agriculture</w:t>
        </w:r>
      </w:hyperlink>
    </w:p>
    <w:p w14:paraId="768930FD" w14:textId="3F860965" w:rsidR="006E3D1D" w:rsidRPr="00D650EA" w:rsidRDefault="009F311F" w:rsidP="001B1542">
      <w:pPr>
        <w:pStyle w:val="NoSpacing"/>
        <w:numPr>
          <w:ilvl w:val="0"/>
          <w:numId w:val="4"/>
        </w:numPr>
        <w:rPr>
          <w:rStyle w:val="Hyperlink"/>
          <w:color w:val="auto"/>
          <w:u w:val="none"/>
        </w:rPr>
      </w:pPr>
      <w:hyperlink w:anchor="Glossary_for_Water" w:history="1">
        <w:r w:rsidR="006E3D1D" w:rsidRPr="005728A3">
          <w:rPr>
            <w:rStyle w:val="Hyperlink"/>
          </w:rPr>
          <w:t>Water</w:t>
        </w:r>
      </w:hyperlink>
    </w:p>
    <w:p w14:paraId="70BBA32A" w14:textId="7B0FD8A9" w:rsidR="00D650EA" w:rsidRPr="001B1542" w:rsidRDefault="009F311F" w:rsidP="001B1542">
      <w:pPr>
        <w:pStyle w:val="NoSpacing"/>
        <w:numPr>
          <w:ilvl w:val="0"/>
          <w:numId w:val="4"/>
        </w:numPr>
      </w:pPr>
      <w:hyperlink w:anchor="Glossary_for_Gender" w:history="1">
        <w:r w:rsidR="00D650EA" w:rsidRPr="00D650EA">
          <w:rPr>
            <w:rStyle w:val="Hyperlink"/>
          </w:rPr>
          <w:t>Gender</w:t>
        </w:r>
      </w:hyperlink>
    </w:p>
    <w:p w14:paraId="02DA7257" w14:textId="29C2B4E8" w:rsidR="00516553" w:rsidRDefault="00516553" w:rsidP="00C24180">
      <w:pPr>
        <w:pStyle w:val="NoSpacing"/>
      </w:pPr>
    </w:p>
    <w:tbl>
      <w:tblPr>
        <w:tblStyle w:val="TableGrid"/>
        <w:tblW w:w="0" w:type="auto"/>
        <w:tblLook w:val="04A0" w:firstRow="1" w:lastRow="0" w:firstColumn="1" w:lastColumn="0" w:noHBand="0" w:noVBand="1"/>
      </w:tblPr>
      <w:tblGrid>
        <w:gridCol w:w="13670"/>
      </w:tblGrid>
      <w:tr w:rsidR="00C24180" w14:paraId="05CE3773" w14:textId="77777777" w:rsidTr="00C24180">
        <w:tc>
          <w:tcPr>
            <w:tcW w:w="13670" w:type="dxa"/>
          </w:tcPr>
          <w:p w14:paraId="082B8DF8" w14:textId="77777777" w:rsidR="00C24180" w:rsidRPr="009F311F" w:rsidRDefault="00C24180" w:rsidP="00C24180">
            <w:pPr>
              <w:pStyle w:val="NoSpacing"/>
            </w:pPr>
            <w:r w:rsidRPr="00C24180">
              <w:rPr>
                <w:b/>
                <w:bCs/>
                <w:sz w:val="24"/>
                <w:szCs w:val="24"/>
              </w:rPr>
              <w:t>KEY:</w:t>
            </w:r>
            <w:r w:rsidRPr="00C24180">
              <w:rPr>
                <w:sz w:val="24"/>
                <w:szCs w:val="24"/>
              </w:rPr>
              <w:t xml:space="preserve"> </w:t>
            </w:r>
            <w:r w:rsidRPr="009F311F">
              <w:t xml:space="preserve">The target population for indicators matters! </w:t>
            </w:r>
          </w:p>
          <w:p w14:paraId="66AFEAC3" w14:textId="494A12C3" w:rsidR="00C24180" w:rsidRDefault="00C24180" w:rsidP="00C24180">
            <w:pPr>
              <w:pStyle w:val="NoSpacing"/>
              <w:numPr>
                <w:ilvl w:val="0"/>
                <w:numId w:val="1"/>
              </w:numPr>
            </w:pPr>
            <w:r w:rsidRPr="009F311F">
              <w:t xml:space="preserve">Indicators can be measured at the level of producer, cooperative or both, and depend on the data and learning needs of each specific intervention. Choose whatever level of measure is most appropriate in </w:t>
            </w:r>
            <w:r w:rsidR="00D236F6">
              <w:t xml:space="preserve">the </w:t>
            </w:r>
            <w:r w:rsidRPr="009F311F">
              <w:t>context of the project. Where appropriate, disaggregate indicators.</w:t>
            </w:r>
          </w:p>
        </w:tc>
      </w:tr>
    </w:tbl>
    <w:p w14:paraId="088CE7CE" w14:textId="77777777" w:rsidR="00775E72" w:rsidRDefault="00775E72" w:rsidP="00775E72">
      <w:pPr>
        <w:pStyle w:val="NoSpacing"/>
      </w:pPr>
    </w:p>
    <w:p w14:paraId="38D45D36" w14:textId="77777777" w:rsidR="001B1542" w:rsidRDefault="001B1542">
      <w:pPr>
        <w:rPr>
          <w:b/>
          <w:sz w:val="32"/>
        </w:rPr>
      </w:pPr>
      <w:r>
        <w:rPr>
          <w:b/>
          <w:sz w:val="32"/>
        </w:rPr>
        <w:br w:type="page"/>
      </w:r>
    </w:p>
    <w:p w14:paraId="2FE77AFD" w14:textId="76977E65" w:rsidR="00D503CD" w:rsidRPr="00FB78B4" w:rsidRDefault="00D503CD" w:rsidP="00A06E75">
      <w:pPr>
        <w:pStyle w:val="NoSpacing"/>
        <w:rPr>
          <w:sz w:val="20"/>
        </w:rPr>
      </w:pPr>
      <w:bookmarkStart w:id="0" w:name="Glossary_for_Agricultural_Value_Chain"/>
      <w:r w:rsidRPr="00B65DEE">
        <w:rPr>
          <w:b/>
          <w:sz w:val="32"/>
        </w:rPr>
        <w:lastRenderedPageBreak/>
        <w:t>Glossary for Agricultural Value Chain</w:t>
      </w:r>
      <w:bookmarkEnd w:id="0"/>
    </w:p>
    <w:tbl>
      <w:tblPr>
        <w:tblStyle w:val="TableGrid"/>
        <w:tblW w:w="13680" w:type="dxa"/>
        <w:tblInd w:w="60" w:type="dxa"/>
        <w:tblLayout w:type="fixed"/>
        <w:tblLook w:val="04A0" w:firstRow="1" w:lastRow="0" w:firstColumn="1" w:lastColumn="0" w:noHBand="0" w:noVBand="1"/>
      </w:tblPr>
      <w:tblGrid>
        <w:gridCol w:w="1645"/>
        <w:gridCol w:w="3872"/>
        <w:gridCol w:w="2869"/>
        <w:gridCol w:w="2647"/>
        <w:gridCol w:w="2647"/>
      </w:tblGrid>
      <w:tr w:rsidR="00C73A1D" w14:paraId="692639C3" w14:textId="77777777" w:rsidTr="00800AB8">
        <w:tc>
          <w:tcPr>
            <w:tcW w:w="1645" w:type="dxa"/>
            <w:shd w:val="clear" w:color="auto" w:fill="A6CE39"/>
            <w:vAlign w:val="center"/>
          </w:tcPr>
          <w:p w14:paraId="6622F719" w14:textId="77777777" w:rsidR="00C73A1D" w:rsidRPr="00383B19" w:rsidRDefault="00C73A1D" w:rsidP="005248B7">
            <w:pPr>
              <w:jc w:val="center"/>
              <w:rPr>
                <w:b/>
                <w:sz w:val="24"/>
              </w:rPr>
            </w:pPr>
            <w:r w:rsidRPr="00383B19">
              <w:rPr>
                <w:b/>
                <w:sz w:val="24"/>
              </w:rPr>
              <w:t>Standard Term</w:t>
            </w:r>
          </w:p>
        </w:tc>
        <w:tc>
          <w:tcPr>
            <w:tcW w:w="3872" w:type="dxa"/>
            <w:shd w:val="clear" w:color="auto" w:fill="A6CE39"/>
            <w:vAlign w:val="center"/>
          </w:tcPr>
          <w:p w14:paraId="666E72DD" w14:textId="77777777" w:rsidR="00C73A1D" w:rsidRPr="00383B19" w:rsidRDefault="00C73A1D" w:rsidP="005248B7">
            <w:pPr>
              <w:jc w:val="center"/>
              <w:rPr>
                <w:b/>
                <w:sz w:val="24"/>
              </w:rPr>
            </w:pPr>
            <w:r w:rsidRPr="00383B19">
              <w:rPr>
                <w:b/>
                <w:sz w:val="24"/>
              </w:rPr>
              <w:t>Definition</w:t>
            </w:r>
          </w:p>
        </w:tc>
        <w:tc>
          <w:tcPr>
            <w:tcW w:w="2869" w:type="dxa"/>
            <w:shd w:val="clear" w:color="auto" w:fill="A6CE39"/>
            <w:vAlign w:val="center"/>
          </w:tcPr>
          <w:p w14:paraId="363980FF" w14:textId="77777777" w:rsidR="00C73A1D" w:rsidRPr="00383B19" w:rsidRDefault="00C73A1D" w:rsidP="005248B7">
            <w:pPr>
              <w:jc w:val="center"/>
              <w:rPr>
                <w:b/>
                <w:sz w:val="24"/>
              </w:rPr>
            </w:pPr>
            <w:r w:rsidRPr="00383B19">
              <w:rPr>
                <w:b/>
                <w:sz w:val="24"/>
              </w:rPr>
              <w:t>Methodological Consideration</w:t>
            </w:r>
            <w:r>
              <w:rPr>
                <w:b/>
                <w:sz w:val="24"/>
              </w:rPr>
              <w:t>s</w:t>
            </w:r>
          </w:p>
        </w:tc>
        <w:tc>
          <w:tcPr>
            <w:tcW w:w="2647" w:type="dxa"/>
            <w:shd w:val="clear" w:color="auto" w:fill="A6CE39"/>
          </w:tcPr>
          <w:p w14:paraId="1A8DCFB3" w14:textId="54CE5209" w:rsidR="00C73A1D" w:rsidRPr="00383B19" w:rsidRDefault="00E55F0E" w:rsidP="005248B7">
            <w:pPr>
              <w:jc w:val="center"/>
              <w:rPr>
                <w:b/>
                <w:sz w:val="24"/>
              </w:rPr>
            </w:pPr>
            <w:r>
              <w:rPr>
                <w:b/>
                <w:sz w:val="24"/>
              </w:rPr>
              <w:t>Example Indicator</w:t>
            </w:r>
          </w:p>
        </w:tc>
        <w:tc>
          <w:tcPr>
            <w:tcW w:w="2647" w:type="dxa"/>
            <w:shd w:val="clear" w:color="auto" w:fill="A6CE39"/>
            <w:vAlign w:val="center"/>
          </w:tcPr>
          <w:p w14:paraId="1586A2F4" w14:textId="547B558C" w:rsidR="00C73A1D" w:rsidRPr="00383B19" w:rsidRDefault="00C73A1D" w:rsidP="005248B7">
            <w:pPr>
              <w:jc w:val="center"/>
              <w:rPr>
                <w:b/>
                <w:sz w:val="24"/>
              </w:rPr>
            </w:pPr>
            <w:r w:rsidRPr="00383B19">
              <w:rPr>
                <w:b/>
                <w:sz w:val="24"/>
              </w:rPr>
              <w:t>External Guidance</w:t>
            </w:r>
          </w:p>
        </w:tc>
      </w:tr>
      <w:tr w:rsidR="00C73A1D" w14:paraId="6FD54765" w14:textId="77777777" w:rsidTr="00800AB8">
        <w:tc>
          <w:tcPr>
            <w:tcW w:w="1645" w:type="dxa"/>
            <w:shd w:val="clear" w:color="auto" w:fill="auto"/>
          </w:tcPr>
          <w:p w14:paraId="7A82E6D9" w14:textId="77777777" w:rsidR="00C73A1D" w:rsidRPr="00383B19" w:rsidRDefault="00C73A1D" w:rsidP="005248B7">
            <w:pPr>
              <w:rPr>
                <w:rFonts w:ascii="Calibri" w:hAnsi="Calibri"/>
                <w:b/>
                <w:bCs/>
                <w:color w:val="000000"/>
              </w:rPr>
            </w:pPr>
            <w:r w:rsidRPr="00383B19">
              <w:rPr>
                <w:rFonts w:ascii="Calibri" w:hAnsi="Calibri"/>
                <w:b/>
                <w:bCs/>
                <w:color w:val="000000"/>
              </w:rPr>
              <w:t>Access to Markets</w:t>
            </w:r>
          </w:p>
        </w:tc>
        <w:tc>
          <w:tcPr>
            <w:tcW w:w="3872" w:type="dxa"/>
            <w:shd w:val="clear" w:color="auto" w:fill="auto"/>
          </w:tcPr>
          <w:p w14:paraId="47EC4600" w14:textId="39BEAF30" w:rsidR="00C73A1D" w:rsidRDefault="00C73A1D" w:rsidP="005248B7">
            <w:pPr>
              <w:rPr>
                <w:rFonts w:ascii="Calibri" w:hAnsi="Calibri"/>
                <w:i/>
                <w:iCs/>
                <w:color w:val="000000"/>
              </w:rPr>
            </w:pPr>
            <w:r>
              <w:rPr>
                <w:rFonts w:ascii="Calibri" w:hAnsi="Calibri"/>
                <w:i/>
                <w:iCs/>
                <w:color w:val="000000"/>
              </w:rPr>
              <w:t>Since access to markets can mean physical access (e.g. distance, status of roads) and institutional access (e.g. collective bargaining), there is not a standard definition and any indicator(s) must be context-specific.</w:t>
            </w:r>
          </w:p>
          <w:p w14:paraId="4E463D20" w14:textId="77777777" w:rsidR="00C73A1D" w:rsidRDefault="00C73A1D" w:rsidP="005248B7">
            <w:pPr>
              <w:rPr>
                <w:rFonts w:ascii="Calibri" w:hAnsi="Calibri"/>
                <w:i/>
                <w:iCs/>
                <w:color w:val="000000"/>
              </w:rPr>
            </w:pPr>
          </w:p>
          <w:p w14:paraId="77A3D2BB" w14:textId="77777777" w:rsidR="00C73A1D" w:rsidRPr="00037309" w:rsidRDefault="00C73A1D" w:rsidP="007A580F">
            <w:pPr>
              <w:rPr>
                <w:rFonts w:ascii="Calibri" w:hAnsi="Calibri"/>
                <w:i/>
                <w:color w:val="000000"/>
              </w:rPr>
            </w:pPr>
            <w:r w:rsidRPr="00037309">
              <w:rPr>
                <w:rFonts w:ascii="Calibri" w:hAnsi="Calibri"/>
                <w:b/>
                <w:i/>
                <w:color w:val="000000"/>
              </w:rPr>
              <w:t>Physical Access:</w:t>
            </w:r>
            <w:r w:rsidRPr="00037309">
              <w:rPr>
                <w:rFonts w:ascii="Calibri" w:hAnsi="Calibri"/>
                <w:i/>
                <w:color w:val="000000"/>
              </w:rPr>
              <w:t xml:space="preserve"> Distance to market, road(s) to market, time to reach market, etc.</w:t>
            </w:r>
          </w:p>
          <w:p w14:paraId="62D85587" w14:textId="77777777" w:rsidR="00C73A1D" w:rsidRPr="00037309" w:rsidRDefault="00C73A1D" w:rsidP="007A580F">
            <w:pPr>
              <w:rPr>
                <w:rFonts w:ascii="Calibri" w:hAnsi="Calibri"/>
                <w:i/>
                <w:color w:val="000000"/>
              </w:rPr>
            </w:pPr>
          </w:p>
          <w:p w14:paraId="0ADEFA16" w14:textId="20561727" w:rsidR="00C73A1D" w:rsidRPr="007A580F" w:rsidRDefault="00C73A1D" w:rsidP="007A580F">
            <w:pPr>
              <w:rPr>
                <w:rFonts w:ascii="Calibri" w:hAnsi="Calibri"/>
                <w:iCs/>
                <w:color w:val="000000"/>
              </w:rPr>
            </w:pPr>
            <w:r w:rsidRPr="00037309">
              <w:rPr>
                <w:rFonts w:ascii="Calibri" w:hAnsi="Calibri"/>
                <w:b/>
                <w:i/>
                <w:color w:val="000000"/>
              </w:rPr>
              <w:t>Institutional Access:</w:t>
            </w:r>
            <w:r w:rsidRPr="00037309">
              <w:rPr>
                <w:rFonts w:ascii="Calibri" w:hAnsi="Calibri"/>
                <w:i/>
                <w:color w:val="000000"/>
              </w:rPr>
              <w:t xml:space="preserve"> Cooperative market, collective bargaining, etc.</w:t>
            </w:r>
          </w:p>
        </w:tc>
        <w:tc>
          <w:tcPr>
            <w:tcW w:w="2869" w:type="dxa"/>
            <w:shd w:val="clear" w:color="auto" w:fill="auto"/>
          </w:tcPr>
          <w:p w14:paraId="272CDD29" w14:textId="77777777" w:rsidR="00C73A1D" w:rsidRPr="00C90CA3" w:rsidRDefault="00C73A1D" w:rsidP="005248B7">
            <w:pPr>
              <w:rPr>
                <w:rFonts w:ascii="Calibri" w:hAnsi="Calibri"/>
                <w:i/>
                <w:color w:val="000000"/>
              </w:rPr>
            </w:pPr>
            <w:r>
              <w:rPr>
                <w:rFonts w:ascii="Calibri" w:hAnsi="Calibri"/>
                <w:i/>
                <w:color w:val="000000"/>
              </w:rPr>
              <w:t>It may be necessary to craft multiple indicators related to different forms of market access in order to address the context of a particular project</w:t>
            </w:r>
          </w:p>
        </w:tc>
        <w:tc>
          <w:tcPr>
            <w:tcW w:w="2647" w:type="dxa"/>
          </w:tcPr>
          <w:p w14:paraId="5904B833" w14:textId="635390F0" w:rsidR="00CF1566" w:rsidRDefault="00E32DD9" w:rsidP="005248B7">
            <w:r>
              <w:t xml:space="preserve">Average </w:t>
            </w:r>
            <w:r w:rsidR="00D236F6">
              <w:t>distance (in k</w:t>
            </w:r>
            <w:r w:rsidR="005B2777">
              <w:t>m</w:t>
            </w:r>
            <w:r w:rsidR="00D236F6">
              <w:t>)</w:t>
            </w:r>
            <w:r>
              <w:t xml:space="preserve"> traveled by </w:t>
            </w:r>
            <w:r w:rsidR="00EC2E4E">
              <w:t>participants</w:t>
            </w:r>
            <w:r>
              <w:t xml:space="preserve"> to market</w:t>
            </w:r>
          </w:p>
          <w:p w14:paraId="2E5D2CD8" w14:textId="77777777" w:rsidR="00E32DD9" w:rsidRDefault="00E32DD9" w:rsidP="005248B7"/>
          <w:p w14:paraId="251B74B7" w14:textId="1A26FC33" w:rsidR="00CF1566" w:rsidRDefault="005B2777" w:rsidP="005248B7">
            <w:r>
              <w:t>#</w:t>
            </w:r>
            <w:r w:rsidR="00E32DD9">
              <w:t xml:space="preserve"> of improved roads linking producers to market</w:t>
            </w:r>
            <w:r w:rsidR="00697F56">
              <w:t xml:space="preserve"> or cooperative</w:t>
            </w:r>
          </w:p>
          <w:p w14:paraId="62964865" w14:textId="77777777" w:rsidR="00CF1566" w:rsidRDefault="00CF1566" w:rsidP="005248B7"/>
          <w:p w14:paraId="0423A354" w14:textId="516F43B0" w:rsidR="00A3341D" w:rsidRDefault="00E32DD9" w:rsidP="005248B7">
            <w:r>
              <w:t>Time between harvest and sale at market</w:t>
            </w:r>
          </w:p>
          <w:p w14:paraId="24DA454C" w14:textId="77777777" w:rsidR="00CF1566" w:rsidRDefault="00CF1566" w:rsidP="005248B7"/>
          <w:p w14:paraId="573BE57A" w14:textId="17EC327D" w:rsidR="00E70760" w:rsidRDefault="00D236F6" w:rsidP="005248B7">
            <w:r>
              <w:t>k</w:t>
            </w:r>
            <w:r w:rsidR="00E70760">
              <w:t>m of roads created or improved</w:t>
            </w:r>
          </w:p>
        </w:tc>
        <w:tc>
          <w:tcPr>
            <w:tcW w:w="2647" w:type="dxa"/>
          </w:tcPr>
          <w:p w14:paraId="5938B71A" w14:textId="4D65D8D3" w:rsidR="00C73A1D" w:rsidRDefault="00C73A1D" w:rsidP="005248B7"/>
        </w:tc>
      </w:tr>
      <w:tr w:rsidR="00C73A1D" w14:paraId="31A8F697" w14:textId="77777777" w:rsidTr="00800AB8">
        <w:tc>
          <w:tcPr>
            <w:tcW w:w="1645" w:type="dxa"/>
            <w:shd w:val="clear" w:color="auto" w:fill="auto"/>
          </w:tcPr>
          <w:p w14:paraId="6420DD8F" w14:textId="24AA7860" w:rsidR="00C73A1D" w:rsidRPr="00383B19" w:rsidRDefault="00C73A1D" w:rsidP="005248B7">
            <w:pPr>
              <w:rPr>
                <w:rFonts w:ascii="Calibri" w:hAnsi="Calibri"/>
                <w:b/>
                <w:color w:val="000000"/>
              </w:rPr>
            </w:pPr>
            <w:r w:rsidRPr="00383B19">
              <w:rPr>
                <w:rFonts w:ascii="Calibri" w:hAnsi="Calibri"/>
                <w:b/>
                <w:color w:val="000000"/>
              </w:rPr>
              <w:t>Cost of Inputs (IC)</w:t>
            </w:r>
          </w:p>
        </w:tc>
        <w:tc>
          <w:tcPr>
            <w:tcW w:w="3872" w:type="dxa"/>
            <w:shd w:val="clear" w:color="auto" w:fill="auto"/>
          </w:tcPr>
          <w:p w14:paraId="2AF9A79F" w14:textId="4C5C42E7" w:rsidR="00C73A1D" w:rsidRDefault="00C73A1D" w:rsidP="005248B7">
            <w:pPr>
              <w:rPr>
                <w:rFonts w:ascii="Calibri" w:hAnsi="Calibri"/>
                <w:color w:val="000000"/>
              </w:rPr>
            </w:pPr>
            <w:r>
              <w:rPr>
                <w:rFonts w:ascii="Calibri" w:hAnsi="Calibri"/>
                <w:color w:val="000000"/>
              </w:rPr>
              <w:t>Monetar</w:t>
            </w:r>
            <w:r w:rsidR="001130B3">
              <w:rPr>
                <w:rFonts w:ascii="Calibri" w:hAnsi="Calibri"/>
                <w:color w:val="000000"/>
              </w:rPr>
              <w:t xml:space="preserve">y value of </w:t>
            </w:r>
            <w:r w:rsidR="003C4FFA">
              <w:rPr>
                <w:rFonts w:ascii="Calibri" w:hAnsi="Calibri"/>
                <w:color w:val="000000"/>
              </w:rPr>
              <w:t xml:space="preserve">all </w:t>
            </w:r>
            <w:r w:rsidR="001130B3">
              <w:rPr>
                <w:rFonts w:ascii="Calibri" w:hAnsi="Calibri"/>
                <w:color w:val="000000"/>
              </w:rPr>
              <w:t>agricultural inputs.</w:t>
            </w:r>
            <w:r w:rsidR="00614E29">
              <w:rPr>
                <w:rFonts w:ascii="Calibri" w:hAnsi="Calibri"/>
                <w:color w:val="000000"/>
              </w:rPr>
              <w:t xml:space="preserve"> This is a necessary data point for measuring gross margin. </w:t>
            </w:r>
          </w:p>
          <w:p w14:paraId="46A037C8" w14:textId="77777777" w:rsidR="00C73A1D" w:rsidRDefault="00C73A1D" w:rsidP="005248B7">
            <w:pPr>
              <w:rPr>
                <w:rFonts w:ascii="Calibri" w:hAnsi="Calibri"/>
                <w:color w:val="000000"/>
              </w:rPr>
            </w:pPr>
          </w:p>
          <w:p w14:paraId="5BE09821" w14:textId="54E37572" w:rsidR="00C73A1D" w:rsidRDefault="008961AE" w:rsidP="008961AE">
            <w:pPr>
              <w:rPr>
                <w:rFonts w:ascii="Calibri" w:hAnsi="Calibri"/>
                <w:color w:val="000000"/>
              </w:rPr>
            </w:pPr>
            <w:r>
              <w:rPr>
                <w:rFonts w:ascii="Calibri" w:hAnsi="Calibri"/>
                <w:color w:val="000000"/>
              </w:rPr>
              <w:t>Cost of inputs</w:t>
            </w:r>
            <w:r w:rsidR="003C4FFA">
              <w:rPr>
                <w:rFonts w:ascii="Calibri" w:hAnsi="Calibri"/>
                <w:color w:val="000000"/>
              </w:rPr>
              <w:t xml:space="preserve"> includes</w:t>
            </w:r>
            <w:r w:rsidR="00C73A1D">
              <w:rPr>
                <w:rFonts w:ascii="Calibri" w:hAnsi="Calibri"/>
                <w:color w:val="000000"/>
              </w:rPr>
              <w:t xml:space="preserve"> the monetized cost of labor</w:t>
            </w:r>
            <w:r w:rsidR="003C4FFA">
              <w:rPr>
                <w:rFonts w:ascii="Calibri" w:hAnsi="Calibri"/>
                <w:color w:val="000000"/>
              </w:rPr>
              <w:t>, services and the</w:t>
            </w:r>
            <w:r w:rsidR="00C73A1D">
              <w:rPr>
                <w:rFonts w:ascii="Calibri" w:hAnsi="Calibri"/>
                <w:color w:val="000000"/>
              </w:rPr>
              <w:t xml:space="preserve"> cost of agricultural inputs (e.g. seeds, fertilizer, </w:t>
            </w:r>
            <w:r w:rsidR="000C0353">
              <w:rPr>
                <w:rFonts w:ascii="Calibri" w:hAnsi="Calibri"/>
                <w:color w:val="000000"/>
              </w:rPr>
              <w:t xml:space="preserve">water, fuel, </w:t>
            </w:r>
            <w:r w:rsidR="00C73A1D">
              <w:rPr>
                <w:rFonts w:ascii="Calibri" w:hAnsi="Calibri"/>
                <w:color w:val="000000"/>
              </w:rPr>
              <w:t>tools, etc.)</w:t>
            </w:r>
          </w:p>
        </w:tc>
        <w:tc>
          <w:tcPr>
            <w:tcW w:w="2869" w:type="dxa"/>
            <w:shd w:val="clear" w:color="auto" w:fill="auto"/>
          </w:tcPr>
          <w:p w14:paraId="52391A61" w14:textId="6899D693" w:rsidR="00C73A1D" w:rsidRDefault="00C73A1D" w:rsidP="005248B7">
            <w:pPr>
              <w:rPr>
                <w:rFonts w:ascii="Calibri" w:hAnsi="Calibri"/>
                <w:color w:val="000000"/>
              </w:rPr>
            </w:pPr>
            <w:r>
              <w:rPr>
                <w:rFonts w:ascii="Calibri" w:hAnsi="Calibri"/>
                <w:color w:val="000000"/>
              </w:rPr>
              <w:t>For use with FTF gross margin (4.5-16), do not include costs for unpaid labor (e.g. family labor)</w:t>
            </w:r>
            <w:r w:rsidR="008B0CD2">
              <w:rPr>
                <w:rFonts w:ascii="Calibri" w:hAnsi="Calibri"/>
                <w:color w:val="000000"/>
              </w:rPr>
              <w:t xml:space="preserve"> or inputs left over from previous years</w:t>
            </w:r>
            <w:r>
              <w:rPr>
                <w:rFonts w:ascii="Calibri" w:hAnsi="Calibri"/>
                <w:color w:val="000000"/>
              </w:rPr>
              <w:t>.</w:t>
            </w:r>
          </w:p>
        </w:tc>
        <w:tc>
          <w:tcPr>
            <w:tcW w:w="2647" w:type="dxa"/>
          </w:tcPr>
          <w:p w14:paraId="260497E1" w14:textId="77777777" w:rsidR="00C73A1D" w:rsidRDefault="00C73A1D" w:rsidP="005248B7"/>
        </w:tc>
        <w:tc>
          <w:tcPr>
            <w:tcW w:w="2647" w:type="dxa"/>
          </w:tcPr>
          <w:p w14:paraId="2462936B" w14:textId="2FDF5675" w:rsidR="00C73A1D" w:rsidRDefault="00C73A1D" w:rsidP="005248B7">
            <w:r>
              <w:t>See Gross Margin</w:t>
            </w:r>
          </w:p>
          <w:p w14:paraId="74BE3BEC" w14:textId="77777777" w:rsidR="00C73A1D" w:rsidRDefault="00C73A1D" w:rsidP="005248B7"/>
          <w:p w14:paraId="410DB496" w14:textId="77777777" w:rsidR="00C73A1D" w:rsidRDefault="009F311F" w:rsidP="005248B7">
            <w:hyperlink r:id="rId8" w:history="1">
              <w:r w:rsidR="00C73A1D" w:rsidRPr="00FD53C3">
                <w:rPr>
                  <w:rStyle w:val="Hyperlink"/>
                </w:rPr>
                <w:t>https://agrilinks.org/sites/default/files/resource/files/FTF_Agriculture_Guide_Jan2014.pdf</w:t>
              </w:r>
            </w:hyperlink>
            <w:r w:rsidR="00C73A1D">
              <w:t xml:space="preserve"> </w:t>
            </w:r>
          </w:p>
          <w:p w14:paraId="45D5AF0A" w14:textId="6BE94662" w:rsidR="00C73A1D" w:rsidRDefault="00C73A1D" w:rsidP="005248B7">
            <w:r>
              <w:t>Appendix 8 pg. 101, Appendix 9 pg. 103</w:t>
            </w:r>
          </w:p>
        </w:tc>
      </w:tr>
      <w:tr w:rsidR="00C73A1D" w14:paraId="0DB97A57" w14:textId="77777777" w:rsidTr="00800AB8">
        <w:tc>
          <w:tcPr>
            <w:tcW w:w="1645" w:type="dxa"/>
            <w:shd w:val="clear" w:color="auto" w:fill="auto"/>
          </w:tcPr>
          <w:p w14:paraId="3A08BE2C" w14:textId="77777777" w:rsidR="00C73A1D" w:rsidRPr="00383B19" w:rsidRDefault="00C73A1D" w:rsidP="005248B7">
            <w:pPr>
              <w:rPr>
                <w:rFonts w:ascii="Calibri" w:hAnsi="Calibri"/>
                <w:b/>
                <w:bCs/>
                <w:color w:val="000000"/>
              </w:rPr>
            </w:pPr>
            <w:r w:rsidRPr="00383B19">
              <w:rPr>
                <w:rFonts w:ascii="Calibri" w:hAnsi="Calibri"/>
                <w:b/>
                <w:bCs/>
                <w:color w:val="000000"/>
              </w:rPr>
              <w:t>Gross Margin (GM)</w:t>
            </w:r>
          </w:p>
        </w:tc>
        <w:tc>
          <w:tcPr>
            <w:tcW w:w="3872" w:type="dxa"/>
            <w:shd w:val="clear" w:color="auto" w:fill="auto"/>
          </w:tcPr>
          <w:p w14:paraId="64A18827" w14:textId="17EC06E6" w:rsidR="00001E09" w:rsidRDefault="00C73A1D" w:rsidP="00001E09">
            <w:pPr>
              <w:rPr>
                <w:rFonts w:ascii="Calibri" w:hAnsi="Calibri"/>
                <w:color w:val="000000"/>
              </w:rPr>
            </w:pPr>
            <w:r>
              <w:rPr>
                <w:rFonts w:ascii="Calibri" w:hAnsi="Calibri"/>
                <w:color w:val="000000"/>
              </w:rPr>
              <w:t>The difference between the total value of production of the agricultural product and the cost of producing that item, divided by the total number of units in production</w:t>
            </w:r>
            <w:r w:rsidR="004D4D53">
              <w:rPr>
                <w:rFonts w:ascii="Calibri" w:hAnsi="Calibri"/>
                <w:color w:val="000000"/>
              </w:rPr>
              <w:t>.</w:t>
            </w:r>
            <w:r w:rsidR="00AE2712">
              <w:rPr>
                <w:rFonts w:ascii="Calibri" w:hAnsi="Calibri"/>
                <w:color w:val="000000"/>
              </w:rPr>
              <w:t xml:space="preserve"> </w:t>
            </w:r>
            <w:r w:rsidR="00001E09" w:rsidRPr="00001E09">
              <w:rPr>
                <w:rFonts w:ascii="Calibri" w:hAnsi="Calibri"/>
                <w:color w:val="000000"/>
              </w:rPr>
              <w:t>Gross margin per hectare, per</w:t>
            </w:r>
            <w:r w:rsidR="00AE2712">
              <w:rPr>
                <w:rFonts w:ascii="Calibri" w:hAnsi="Calibri"/>
                <w:color w:val="000000"/>
              </w:rPr>
              <w:t xml:space="preserve"> </w:t>
            </w:r>
            <w:r w:rsidR="00001E09" w:rsidRPr="00001E09">
              <w:rPr>
                <w:rFonts w:ascii="Calibri" w:hAnsi="Calibri"/>
                <w:color w:val="000000"/>
              </w:rPr>
              <w:t>animal or per cage is a measure of net income for that farm/livestock/fisheries-use activity</w:t>
            </w:r>
            <w:r w:rsidR="00001E09">
              <w:rPr>
                <w:rFonts w:ascii="Calibri" w:hAnsi="Calibri"/>
                <w:color w:val="000000"/>
              </w:rPr>
              <w:t>.</w:t>
            </w:r>
          </w:p>
          <w:p w14:paraId="00348AF5" w14:textId="77777777" w:rsidR="00C73A1D" w:rsidRDefault="00C73A1D" w:rsidP="00F77019">
            <w:pPr>
              <w:rPr>
                <w:rFonts w:ascii="Calibri" w:hAnsi="Calibri"/>
                <w:color w:val="000000"/>
              </w:rPr>
            </w:pPr>
          </w:p>
          <w:p w14:paraId="7C74641D" w14:textId="4C6A6EDC" w:rsidR="00C73A1D" w:rsidRDefault="00C73A1D" w:rsidP="00F77019">
            <w:pPr>
              <w:rPr>
                <w:rFonts w:ascii="Calibri" w:hAnsi="Calibri"/>
                <w:color w:val="000000"/>
              </w:rPr>
            </w:pPr>
            <w:r>
              <w:rPr>
                <w:rFonts w:ascii="Calibri" w:hAnsi="Calibri"/>
                <w:color w:val="000000"/>
              </w:rPr>
              <w:t>GM per ha, per animal, per cage = [(TP x VS/QS) –</w:t>
            </w:r>
            <w:r w:rsidR="00D236F6">
              <w:rPr>
                <w:rFonts w:ascii="Calibri" w:hAnsi="Calibri"/>
                <w:color w:val="000000"/>
              </w:rPr>
              <w:t xml:space="preserve"> </w:t>
            </w:r>
            <w:r>
              <w:rPr>
                <w:rFonts w:ascii="Calibri" w:hAnsi="Calibri"/>
                <w:color w:val="000000"/>
              </w:rPr>
              <w:t>IC ] / UP</w:t>
            </w:r>
          </w:p>
        </w:tc>
        <w:tc>
          <w:tcPr>
            <w:tcW w:w="2869" w:type="dxa"/>
            <w:shd w:val="clear" w:color="auto" w:fill="auto"/>
          </w:tcPr>
          <w:p w14:paraId="00774D2D" w14:textId="7E291B63" w:rsidR="00C73A1D" w:rsidRPr="00653E5F" w:rsidRDefault="00C73A1D" w:rsidP="005248B7">
            <w:pPr>
              <w:rPr>
                <w:rFonts w:ascii="Calibri" w:hAnsi="Calibri"/>
                <w:color w:val="000000"/>
              </w:rPr>
            </w:pPr>
            <w:r>
              <w:rPr>
                <w:rFonts w:ascii="Calibri" w:hAnsi="Calibri"/>
                <w:color w:val="000000"/>
              </w:rPr>
              <w:t xml:space="preserve">To measure gross margin you must have </w:t>
            </w:r>
            <w:r w:rsidR="00D236F6">
              <w:rPr>
                <w:rFonts w:ascii="Calibri" w:hAnsi="Calibri"/>
                <w:color w:val="000000"/>
              </w:rPr>
              <w:t>five</w:t>
            </w:r>
            <w:r>
              <w:rPr>
                <w:rFonts w:ascii="Calibri" w:hAnsi="Calibri"/>
                <w:color w:val="000000"/>
              </w:rPr>
              <w:t xml:space="preserve"> data points: </w:t>
            </w:r>
            <w:r w:rsidRPr="00653E5F">
              <w:rPr>
                <w:rFonts w:ascii="Calibri" w:hAnsi="Calibri"/>
                <w:b/>
                <w:bCs/>
                <w:color w:val="000000"/>
              </w:rPr>
              <w:t>Total Production</w:t>
            </w:r>
            <w:r>
              <w:rPr>
                <w:rFonts w:ascii="Calibri" w:hAnsi="Calibri"/>
                <w:color w:val="000000"/>
              </w:rPr>
              <w:t xml:space="preserve">, </w:t>
            </w:r>
            <w:r w:rsidRPr="00653E5F">
              <w:rPr>
                <w:rFonts w:ascii="Calibri" w:hAnsi="Calibri"/>
                <w:b/>
                <w:bCs/>
                <w:color w:val="000000"/>
              </w:rPr>
              <w:t>Value of Sales</w:t>
            </w:r>
            <w:r>
              <w:rPr>
                <w:rFonts w:ascii="Calibri" w:hAnsi="Calibri"/>
                <w:color w:val="000000"/>
              </w:rPr>
              <w:t xml:space="preserve">, </w:t>
            </w:r>
            <w:r w:rsidRPr="00653E5F">
              <w:rPr>
                <w:rFonts w:ascii="Calibri" w:hAnsi="Calibri"/>
                <w:b/>
                <w:bCs/>
                <w:color w:val="000000"/>
              </w:rPr>
              <w:t>Quantity of Sales</w:t>
            </w:r>
            <w:r>
              <w:rPr>
                <w:rFonts w:ascii="Calibri" w:hAnsi="Calibri"/>
                <w:color w:val="000000"/>
              </w:rPr>
              <w:t xml:space="preserve">, </w:t>
            </w:r>
            <w:r w:rsidRPr="00653E5F">
              <w:rPr>
                <w:rFonts w:ascii="Calibri" w:hAnsi="Calibri"/>
                <w:b/>
                <w:bCs/>
                <w:color w:val="000000"/>
              </w:rPr>
              <w:t>Cost of Inputs</w:t>
            </w:r>
            <w:r>
              <w:rPr>
                <w:rFonts w:ascii="Calibri" w:hAnsi="Calibri"/>
                <w:color w:val="000000"/>
              </w:rPr>
              <w:t xml:space="preserve"> </w:t>
            </w:r>
            <w:r w:rsidR="00653E5F">
              <w:rPr>
                <w:rFonts w:ascii="Calibri" w:hAnsi="Calibri"/>
                <w:color w:val="000000"/>
              </w:rPr>
              <w:t xml:space="preserve">and </w:t>
            </w:r>
            <w:r w:rsidRPr="00653E5F">
              <w:rPr>
                <w:rFonts w:ascii="Calibri" w:hAnsi="Calibri"/>
                <w:b/>
                <w:bCs/>
                <w:color w:val="000000"/>
              </w:rPr>
              <w:t>Units of Production.</w:t>
            </w:r>
            <w:r w:rsidR="00653E5F">
              <w:rPr>
                <w:rFonts w:ascii="Calibri" w:hAnsi="Calibri"/>
                <w:b/>
                <w:bCs/>
                <w:color w:val="000000"/>
              </w:rPr>
              <w:t xml:space="preserve"> </w:t>
            </w:r>
            <w:r w:rsidR="00653E5F">
              <w:rPr>
                <w:rFonts w:ascii="Calibri" w:hAnsi="Calibri"/>
                <w:color w:val="000000"/>
              </w:rPr>
              <w:t>They ar</w:t>
            </w:r>
            <w:r w:rsidR="00E76498">
              <w:rPr>
                <w:rFonts w:ascii="Calibri" w:hAnsi="Calibri"/>
                <w:color w:val="000000"/>
              </w:rPr>
              <w:t>e all included in this glossary.</w:t>
            </w:r>
          </w:p>
          <w:p w14:paraId="37BDBB61" w14:textId="77777777" w:rsidR="00C73A1D" w:rsidRDefault="00C73A1D" w:rsidP="005248B7">
            <w:pPr>
              <w:rPr>
                <w:rFonts w:ascii="Calibri" w:hAnsi="Calibri"/>
                <w:color w:val="000000"/>
              </w:rPr>
            </w:pPr>
          </w:p>
          <w:p w14:paraId="44D39F5F" w14:textId="5185C21E" w:rsidR="00C73A1D" w:rsidRDefault="00C73A1D" w:rsidP="005248B7">
            <w:pPr>
              <w:rPr>
                <w:rFonts w:ascii="Calibri" w:hAnsi="Calibri"/>
                <w:color w:val="000000"/>
              </w:rPr>
            </w:pPr>
            <w:r>
              <w:rPr>
                <w:rFonts w:ascii="Calibri" w:hAnsi="Calibri"/>
                <w:color w:val="000000"/>
              </w:rPr>
              <w:t xml:space="preserve">Consider measuring gross margin by the most limiting factor. This is often the unit of production in agricultural </w:t>
            </w:r>
            <w:r>
              <w:rPr>
                <w:rFonts w:ascii="Calibri" w:hAnsi="Calibri"/>
                <w:color w:val="000000"/>
              </w:rPr>
              <w:lastRenderedPageBreak/>
              <w:t>projects but could also be labor or water available, etc.</w:t>
            </w:r>
          </w:p>
        </w:tc>
        <w:tc>
          <w:tcPr>
            <w:tcW w:w="2647" w:type="dxa"/>
          </w:tcPr>
          <w:p w14:paraId="43F5494A" w14:textId="77777777" w:rsidR="00C73A1D" w:rsidRDefault="00A70BA8" w:rsidP="00A3341D">
            <w:r>
              <w:lastRenderedPageBreak/>
              <w:t>“Gross margin per hectare, animal or cage of selected product.”</w:t>
            </w:r>
          </w:p>
          <w:p w14:paraId="34098589" w14:textId="77777777" w:rsidR="00420029" w:rsidRDefault="00420029" w:rsidP="00A3341D"/>
          <w:p w14:paraId="466AAC53" w14:textId="7A73A801" w:rsidR="00420029" w:rsidRDefault="00420029" w:rsidP="00A3341D">
            <w:r>
              <w:t>For FTF</w:t>
            </w:r>
            <w:r w:rsidR="00A904F6">
              <w:t>,</w:t>
            </w:r>
            <w:r>
              <w:t xml:space="preserve"> gross margin is measured per commodity. </w:t>
            </w:r>
          </w:p>
        </w:tc>
        <w:tc>
          <w:tcPr>
            <w:tcW w:w="2647" w:type="dxa"/>
          </w:tcPr>
          <w:p w14:paraId="43D56B27" w14:textId="19435042" w:rsidR="00C73A1D" w:rsidRDefault="009F311F" w:rsidP="005248B7">
            <w:pPr>
              <w:rPr>
                <w:rStyle w:val="Hyperlink"/>
                <w:color w:val="auto"/>
                <w:u w:val="none"/>
              </w:rPr>
            </w:pPr>
            <w:hyperlink r:id="rId9" w:history="1">
              <w:r w:rsidR="00C73A1D" w:rsidRPr="00777FE7">
                <w:rPr>
                  <w:rStyle w:val="Hyperlink"/>
                </w:rPr>
                <w:t>http://feedthefuture.gov/sites/default/files/resource/files/ftf_handbook_indicators_october2014.pdf</w:t>
              </w:r>
            </w:hyperlink>
            <w:r w:rsidR="00C73A1D">
              <w:rPr>
                <w:rStyle w:val="Hyperlink"/>
                <w:color w:val="auto"/>
                <w:u w:val="none"/>
              </w:rPr>
              <w:t xml:space="preserve"> pg. 35</w:t>
            </w:r>
          </w:p>
          <w:p w14:paraId="6D7C9A98" w14:textId="77777777" w:rsidR="00C73A1D" w:rsidRDefault="00C73A1D" w:rsidP="005248B7">
            <w:pPr>
              <w:rPr>
                <w:rStyle w:val="Hyperlink"/>
                <w:color w:val="auto"/>
                <w:u w:val="none"/>
              </w:rPr>
            </w:pPr>
          </w:p>
          <w:p w14:paraId="6043BAD8" w14:textId="77777777" w:rsidR="00C73A1D" w:rsidRDefault="009F311F" w:rsidP="005248B7">
            <w:hyperlink r:id="rId10" w:history="1">
              <w:r w:rsidR="00C73A1D" w:rsidRPr="00FD53C3">
                <w:rPr>
                  <w:rStyle w:val="Hyperlink"/>
                </w:rPr>
                <w:t>https://agrilinks.org/sites/default/files/resource/files/FTF_Agriculture_Guide_Jan2014.pdf</w:t>
              </w:r>
            </w:hyperlink>
            <w:r w:rsidR="00C73A1D">
              <w:t xml:space="preserve"> </w:t>
            </w:r>
          </w:p>
          <w:p w14:paraId="2163D39A" w14:textId="5429B408" w:rsidR="00C73A1D" w:rsidRDefault="00C73A1D" w:rsidP="005248B7">
            <w:r>
              <w:t>Appendix 1 pg. 77, Appendix 4 pg. 91</w:t>
            </w:r>
          </w:p>
        </w:tc>
      </w:tr>
      <w:tr w:rsidR="00427D9E" w14:paraId="5349510F" w14:textId="77777777" w:rsidTr="00800AB8">
        <w:tc>
          <w:tcPr>
            <w:tcW w:w="1645" w:type="dxa"/>
            <w:shd w:val="clear" w:color="auto" w:fill="auto"/>
          </w:tcPr>
          <w:p w14:paraId="3B03FBA7" w14:textId="3EB77D5F" w:rsidR="00427D9E" w:rsidRPr="00383B19" w:rsidRDefault="00427D9E" w:rsidP="005248B7">
            <w:pPr>
              <w:rPr>
                <w:rFonts w:ascii="Calibri" w:hAnsi="Calibri"/>
                <w:b/>
                <w:bCs/>
                <w:color w:val="000000"/>
              </w:rPr>
            </w:pPr>
            <w:r>
              <w:rPr>
                <w:rFonts w:ascii="Calibri" w:hAnsi="Calibri"/>
                <w:b/>
                <w:bCs/>
                <w:color w:val="000000"/>
              </w:rPr>
              <w:t>Home Consumption</w:t>
            </w:r>
          </w:p>
        </w:tc>
        <w:tc>
          <w:tcPr>
            <w:tcW w:w="3872" w:type="dxa"/>
            <w:shd w:val="clear" w:color="auto" w:fill="auto"/>
          </w:tcPr>
          <w:p w14:paraId="22D9FD14" w14:textId="0A0C91B0" w:rsidR="00427D9E" w:rsidRPr="00427D9E" w:rsidRDefault="00650F1C" w:rsidP="005248B7">
            <w:pPr>
              <w:rPr>
                <w:rFonts w:ascii="Calibri" w:hAnsi="Calibri"/>
                <w:color w:val="000000"/>
              </w:rPr>
            </w:pPr>
            <w:r>
              <w:rPr>
                <w:rFonts w:ascii="Calibri" w:hAnsi="Calibri"/>
                <w:color w:val="000000"/>
              </w:rPr>
              <w:t xml:space="preserve">The amount of agricultural production set aside for consumption within the household. When looked at with the volume of sales and purchasing power of the household, home consumption can help indicate the food security of a household. </w:t>
            </w:r>
          </w:p>
        </w:tc>
        <w:tc>
          <w:tcPr>
            <w:tcW w:w="2869" w:type="dxa"/>
            <w:shd w:val="clear" w:color="auto" w:fill="auto"/>
          </w:tcPr>
          <w:p w14:paraId="5CC1228A" w14:textId="77777777" w:rsidR="00427D9E" w:rsidRDefault="00650F1C" w:rsidP="00815055">
            <w:pPr>
              <w:rPr>
                <w:rFonts w:ascii="Calibri" w:hAnsi="Calibri"/>
                <w:color w:val="000000"/>
              </w:rPr>
            </w:pPr>
            <w:r>
              <w:rPr>
                <w:rFonts w:ascii="Calibri" w:hAnsi="Calibri"/>
                <w:color w:val="000000"/>
              </w:rPr>
              <w:t xml:space="preserve">The criteria for measuring the Feed the Future indicator are found on page 54 of the included link. </w:t>
            </w:r>
          </w:p>
          <w:p w14:paraId="1FCE9FB7" w14:textId="77777777" w:rsidR="00650F1C" w:rsidRPr="00427D9E" w:rsidRDefault="00650F1C" w:rsidP="00815055">
            <w:pPr>
              <w:rPr>
                <w:rFonts w:ascii="Calibri" w:hAnsi="Calibri"/>
                <w:color w:val="000000"/>
              </w:rPr>
            </w:pPr>
          </w:p>
        </w:tc>
        <w:tc>
          <w:tcPr>
            <w:tcW w:w="2647" w:type="dxa"/>
          </w:tcPr>
          <w:p w14:paraId="54D1F2D7" w14:textId="0D03903D" w:rsidR="00427D9E" w:rsidRPr="00427D9E" w:rsidRDefault="00650F1C" w:rsidP="00650F1C">
            <w:r>
              <w:t xml:space="preserve">Total quantity of targeted nutrient-rich value chain commodities produced by direct beneficiaries that is set aside for home consumption (Feed the Future </w:t>
            </w:r>
            <w:r w:rsidRPr="00650F1C">
              <w:t>4.5.2.8(TBD3)</w:t>
            </w:r>
            <w:r>
              <w:t>)</w:t>
            </w:r>
          </w:p>
        </w:tc>
        <w:tc>
          <w:tcPr>
            <w:tcW w:w="2647" w:type="dxa"/>
          </w:tcPr>
          <w:p w14:paraId="500042C6" w14:textId="361B6D6A" w:rsidR="00427D9E" w:rsidRDefault="009F311F" w:rsidP="005248B7">
            <w:hyperlink r:id="rId11" w:history="1">
              <w:r w:rsidR="00427D9E" w:rsidRPr="00812CE5">
                <w:rPr>
                  <w:rStyle w:val="Hyperlink"/>
                </w:rPr>
                <w:t>http://feedthefuture.gov/sites/default/files/resource/files/ftf_handbook_indicators_october2014.pdf</w:t>
              </w:r>
            </w:hyperlink>
          </w:p>
          <w:p w14:paraId="155E0743" w14:textId="5541477C" w:rsidR="00427D9E" w:rsidRDefault="00427D9E" w:rsidP="005248B7">
            <w:r>
              <w:t>pg. 54</w:t>
            </w:r>
          </w:p>
        </w:tc>
      </w:tr>
      <w:tr w:rsidR="00C73A1D" w14:paraId="5742473E" w14:textId="77777777" w:rsidTr="00800AB8">
        <w:tc>
          <w:tcPr>
            <w:tcW w:w="1645" w:type="dxa"/>
            <w:shd w:val="clear" w:color="auto" w:fill="auto"/>
          </w:tcPr>
          <w:p w14:paraId="1F970259" w14:textId="7856F2AD" w:rsidR="00C73A1D" w:rsidRPr="00383B19" w:rsidRDefault="00C73A1D" w:rsidP="005248B7">
            <w:pPr>
              <w:rPr>
                <w:rFonts w:ascii="Calibri" w:hAnsi="Calibri"/>
                <w:b/>
                <w:bCs/>
                <w:color w:val="000000"/>
              </w:rPr>
            </w:pPr>
            <w:r w:rsidRPr="00383B19">
              <w:rPr>
                <w:rFonts w:ascii="Calibri" w:hAnsi="Calibri"/>
                <w:b/>
                <w:bCs/>
                <w:color w:val="000000"/>
              </w:rPr>
              <w:t>Improved Agricultural Practices</w:t>
            </w:r>
          </w:p>
        </w:tc>
        <w:tc>
          <w:tcPr>
            <w:tcW w:w="3872" w:type="dxa"/>
            <w:shd w:val="clear" w:color="auto" w:fill="auto"/>
          </w:tcPr>
          <w:p w14:paraId="78A58209" w14:textId="004885EE" w:rsidR="00C73A1D" w:rsidRDefault="00C73A1D" w:rsidP="005248B7">
            <w:pPr>
              <w:rPr>
                <w:rFonts w:ascii="Calibri" w:hAnsi="Calibri"/>
                <w:i/>
                <w:iCs/>
                <w:color w:val="000000"/>
              </w:rPr>
            </w:pPr>
            <w:r>
              <w:rPr>
                <w:rFonts w:ascii="Calibri" w:hAnsi="Calibri"/>
                <w:i/>
                <w:iCs/>
                <w:color w:val="000000"/>
              </w:rPr>
              <w:t xml:space="preserve">Practices </w:t>
            </w:r>
            <w:r w:rsidR="004E70AB">
              <w:rPr>
                <w:rFonts w:ascii="Calibri" w:hAnsi="Calibri"/>
                <w:i/>
                <w:iCs/>
                <w:color w:val="000000"/>
              </w:rPr>
              <w:t>that</w:t>
            </w:r>
            <w:r>
              <w:rPr>
                <w:rFonts w:ascii="Calibri" w:hAnsi="Calibri"/>
                <w:i/>
                <w:iCs/>
                <w:color w:val="000000"/>
              </w:rPr>
              <w:t xml:space="preserve"> are improved over what already exists and is implemented. This is a contextual measure. </w:t>
            </w:r>
          </w:p>
          <w:p w14:paraId="007A99B2" w14:textId="77777777" w:rsidR="00C73A1D" w:rsidRDefault="00C73A1D" w:rsidP="005248B7">
            <w:pPr>
              <w:rPr>
                <w:rFonts w:ascii="Calibri" w:hAnsi="Calibri"/>
                <w:i/>
                <w:iCs/>
                <w:color w:val="000000"/>
              </w:rPr>
            </w:pPr>
          </w:p>
          <w:p w14:paraId="7F41C048" w14:textId="22474EF0" w:rsidR="00C73A1D" w:rsidRPr="00037309" w:rsidRDefault="00C73A1D" w:rsidP="00EB6E7E">
            <w:pPr>
              <w:rPr>
                <w:rFonts w:ascii="Calibri" w:hAnsi="Calibri"/>
                <w:i/>
                <w:iCs/>
                <w:color w:val="000000"/>
              </w:rPr>
            </w:pPr>
            <w:r w:rsidRPr="00037309">
              <w:rPr>
                <w:rFonts w:ascii="Calibri" w:hAnsi="Calibri"/>
                <w:i/>
                <w:color w:val="000000"/>
              </w:rPr>
              <w:t xml:space="preserve">e.g. </w:t>
            </w:r>
            <w:r w:rsidR="00EB6E7E">
              <w:rPr>
                <w:rFonts w:ascii="Calibri" w:hAnsi="Calibri"/>
                <w:i/>
                <w:color w:val="000000"/>
              </w:rPr>
              <w:t>A</w:t>
            </w:r>
            <w:r w:rsidRPr="00037309">
              <w:rPr>
                <w:rFonts w:ascii="Calibri" w:hAnsi="Calibri"/>
                <w:i/>
                <w:color w:val="000000"/>
              </w:rPr>
              <w:t>ctions which increase production, reduce input costs, reduce post-harvest loss, make products</w:t>
            </w:r>
            <w:r w:rsidR="0053303C">
              <w:rPr>
                <w:rFonts w:ascii="Calibri" w:hAnsi="Calibri"/>
                <w:i/>
                <w:color w:val="000000"/>
              </w:rPr>
              <w:t xml:space="preserve"> more marketable, create higher-</w:t>
            </w:r>
            <w:r w:rsidRPr="00037309">
              <w:rPr>
                <w:rFonts w:ascii="Calibri" w:hAnsi="Calibri"/>
                <w:i/>
                <w:color w:val="000000"/>
              </w:rPr>
              <w:t>quality products, increase value of sales, increase income, etc.</w:t>
            </w:r>
          </w:p>
        </w:tc>
        <w:tc>
          <w:tcPr>
            <w:tcW w:w="2869" w:type="dxa"/>
            <w:shd w:val="clear" w:color="auto" w:fill="auto"/>
          </w:tcPr>
          <w:p w14:paraId="187A93F4" w14:textId="27903B05" w:rsidR="00C73A1D" w:rsidRPr="00F142CC" w:rsidRDefault="00C73A1D" w:rsidP="00815055">
            <w:pPr>
              <w:rPr>
                <w:rFonts w:ascii="Calibri" w:hAnsi="Calibri"/>
                <w:i/>
                <w:color w:val="000000"/>
              </w:rPr>
            </w:pPr>
            <w:r>
              <w:rPr>
                <w:rFonts w:ascii="Calibri" w:hAnsi="Calibri"/>
                <w:i/>
                <w:color w:val="000000"/>
              </w:rPr>
              <w:t>Must determine what qualifies as improvement in local context and at what scale. Reflection meetings might serve this purpose better than quantitative indicators.</w:t>
            </w:r>
          </w:p>
        </w:tc>
        <w:tc>
          <w:tcPr>
            <w:tcW w:w="2647" w:type="dxa"/>
          </w:tcPr>
          <w:p w14:paraId="109F8DD9" w14:textId="3E304A07" w:rsidR="00A3341D" w:rsidRDefault="00A3341D" w:rsidP="00B97A05">
            <w:r>
              <w:t xml:space="preserve"># of </w:t>
            </w:r>
            <w:r w:rsidR="00B97A05">
              <w:t>participants</w:t>
            </w:r>
            <w:r>
              <w:t xml:space="preserve"> who apply X number of improved practices [must define </w:t>
            </w:r>
            <w:r w:rsidR="00D236F6">
              <w:t>“</w:t>
            </w:r>
            <w:r>
              <w:t>apply]</w:t>
            </w:r>
          </w:p>
        </w:tc>
        <w:tc>
          <w:tcPr>
            <w:tcW w:w="2647" w:type="dxa"/>
          </w:tcPr>
          <w:p w14:paraId="300CECFC" w14:textId="0561B669" w:rsidR="00C73A1D" w:rsidRDefault="009F311F" w:rsidP="005248B7">
            <w:hyperlink r:id="rId12" w:history="1">
              <w:r w:rsidR="00C73A1D" w:rsidRPr="00FD53C3">
                <w:rPr>
                  <w:rStyle w:val="Hyperlink"/>
                </w:rPr>
                <w:t>https://agrilinks.org/sites/default/files/resource/files/FTF_Agriculture_Guide_Jan2014.pdf</w:t>
              </w:r>
            </w:hyperlink>
            <w:r w:rsidR="00C73A1D">
              <w:t xml:space="preserve"> </w:t>
            </w:r>
          </w:p>
          <w:p w14:paraId="693C1530" w14:textId="5EEC6D39" w:rsidR="00C73A1D" w:rsidRDefault="00C73A1D" w:rsidP="005248B7">
            <w:r>
              <w:t>pg. 33, 64</w:t>
            </w:r>
          </w:p>
          <w:p w14:paraId="4F9FC4E9" w14:textId="77777777" w:rsidR="00C73A1D" w:rsidRDefault="00C73A1D" w:rsidP="005248B7"/>
          <w:p w14:paraId="7AEC533D" w14:textId="2F270723" w:rsidR="00C73A1D" w:rsidRDefault="00C73A1D" w:rsidP="005248B7">
            <w:r>
              <w:t>Appendix 1 pg. 79, 82</w:t>
            </w:r>
          </w:p>
        </w:tc>
      </w:tr>
      <w:tr w:rsidR="00C73A1D" w14:paraId="693112E1" w14:textId="77777777" w:rsidTr="00800AB8">
        <w:tc>
          <w:tcPr>
            <w:tcW w:w="1645" w:type="dxa"/>
            <w:shd w:val="clear" w:color="auto" w:fill="auto"/>
          </w:tcPr>
          <w:p w14:paraId="24B3E792" w14:textId="20E43ECC" w:rsidR="00C73A1D" w:rsidRPr="00383B19" w:rsidRDefault="00C73A1D" w:rsidP="005248B7">
            <w:pPr>
              <w:rPr>
                <w:rFonts w:ascii="Calibri" w:hAnsi="Calibri"/>
                <w:b/>
                <w:bCs/>
                <w:color w:val="000000"/>
              </w:rPr>
            </w:pPr>
            <w:r w:rsidRPr="00383B19">
              <w:rPr>
                <w:rFonts w:ascii="Calibri" w:hAnsi="Calibri"/>
                <w:b/>
                <w:bCs/>
                <w:color w:val="000000"/>
              </w:rPr>
              <w:t>Income (I)</w:t>
            </w:r>
          </w:p>
        </w:tc>
        <w:tc>
          <w:tcPr>
            <w:tcW w:w="3872" w:type="dxa"/>
            <w:shd w:val="clear" w:color="auto" w:fill="auto"/>
          </w:tcPr>
          <w:p w14:paraId="24C7A1E9" w14:textId="77777777" w:rsidR="00C73A1D" w:rsidRDefault="00C73A1D" w:rsidP="005248B7">
            <w:pPr>
              <w:rPr>
                <w:rFonts w:ascii="Calibri" w:hAnsi="Calibri"/>
                <w:color w:val="000000"/>
              </w:rPr>
            </w:pPr>
            <w:r>
              <w:rPr>
                <w:rFonts w:ascii="Calibri" w:hAnsi="Calibri"/>
                <w:color w:val="000000"/>
              </w:rPr>
              <w:t>Money derived from agricultural production directly related to project activities.</w:t>
            </w:r>
          </w:p>
        </w:tc>
        <w:tc>
          <w:tcPr>
            <w:tcW w:w="2869" w:type="dxa"/>
            <w:shd w:val="clear" w:color="auto" w:fill="auto"/>
          </w:tcPr>
          <w:p w14:paraId="6AC6C822" w14:textId="5ED854DE" w:rsidR="00C73A1D" w:rsidRDefault="00C73A1D" w:rsidP="005248B7">
            <w:pPr>
              <w:rPr>
                <w:rFonts w:ascii="Calibri" w:hAnsi="Calibri"/>
                <w:color w:val="000000"/>
              </w:rPr>
            </w:pPr>
            <w:r>
              <w:rPr>
                <w:rFonts w:ascii="Calibri" w:hAnsi="Calibri"/>
                <w:color w:val="000000"/>
              </w:rPr>
              <w:t>Not overall household income—income specifically attributable to the intervention.</w:t>
            </w:r>
          </w:p>
        </w:tc>
        <w:tc>
          <w:tcPr>
            <w:tcW w:w="2647" w:type="dxa"/>
          </w:tcPr>
          <w:p w14:paraId="3E1D5F63" w14:textId="6EB65E68" w:rsidR="00C73A1D" w:rsidRDefault="00C73A1D" w:rsidP="005248B7"/>
        </w:tc>
        <w:tc>
          <w:tcPr>
            <w:tcW w:w="2647" w:type="dxa"/>
          </w:tcPr>
          <w:p w14:paraId="6D0EBB37" w14:textId="54117E0B" w:rsidR="00C73A1D" w:rsidRDefault="00C73A1D" w:rsidP="005248B7"/>
        </w:tc>
      </w:tr>
      <w:tr w:rsidR="00C73A1D" w14:paraId="124E2BA0" w14:textId="77777777" w:rsidTr="00800AB8">
        <w:tc>
          <w:tcPr>
            <w:tcW w:w="1645" w:type="dxa"/>
            <w:shd w:val="clear" w:color="auto" w:fill="auto"/>
          </w:tcPr>
          <w:p w14:paraId="1AAE4324" w14:textId="77777777" w:rsidR="00C73A1D" w:rsidRPr="00383B19" w:rsidRDefault="00C73A1D" w:rsidP="005248B7">
            <w:pPr>
              <w:rPr>
                <w:rFonts w:ascii="Calibri" w:hAnsi="Calibri"/>
                <w:b/>
                <w:bCs/>
                <w:color w:val="000000"/>
              </w:rPr>
            </w:pPr>
            <w:r w:rsidRPr="00383B19">
              <w:rPr>
                <w:rFonts w:ascii="Calibri" w:hAnsi="Calibri"/>
                <w:b/>
                <w:bCs/>
                <w:color w:val="000000"/>
              </w:rPr>
              <w:t>Post-harvest loss (PHL)</w:t>
            </w:r>
          </w:p>
        </w:tc>
        <w:tc>
          <w:tcPr>
            <w:tcW w:w="3872" w:type="dxa"/>
            <w:shd w:val="clear" w:color="auto" w:fill="auto"/>
          </w:tcPr>
          <w:p w14:paraId="2901888C" w14:textId="77777777" w:rsidR="00C73A1D" w:rsidRDefault="00C73A1D" w:rsidP="005248B7">
            <w:pPr>
              <w:rPr>
                <w:rFonts w:ascii="Calibri" w:hAnsi="Calibri"/>
                <w:color w:val="000000"/>
              </w:rPr>
            </w:pPr>
            <w:r>
              <w:rPr>
                <w:rFonts w:ascii="Calibri" w:hAnsi="Calibri"/>
                <w:color w:val="000000"/>
              </w:rPr>
              <w:t>Quantity of agricultural products lost between harvest and sale.</w:t>
            </w:r>
          </w:p>
          <w:p w14:paraId="43B9DC69" w14:textId="77777777" w:rsidR="00C73A1D" w:rsidRDefault="00C73A1D" w:rsidP="005248B7">
            <w:pPr>
              <w:rPr>
                <w:rFonts w:ascii="Calibri" w:hAnsi="Calibri"/>
                <w:color w:val="000000"/>
              </w:rPr>
            </w:pPr>
          </w:p>
          <w:p w14:paraId="2A528A28" w14:textId="6B967226" w:rsidR="00C73A1D" w:rsidRDefault="00C73A1D" w:rsidP="0063326B">
            <w:pPr>
              <w:rPr>
                <w:rFonts w:ascii="Calibri" w:hAnsi="Calibri"/>
                <w:color w:val="000000"/>
              </w:rPr>
            </w:pPr>
            <w:r>
              <w:rPr>
                <w:rFonts w:ascii="Calibri" w:hAnsi="Calibri"/>
                <w:color w:val="000000"/>
              </w:rPr>
              <w:t>PHL = TP - QS</w:t>
            </w:r>
          </w:p>
        </w:tc>
        <w:tc>
          <w:tcPr>
            <w:tcW w:w="2869" w:type="dxa"/>
            <w:shd w:val="clear" w:color="auto" w:fill="auto"/>
          </w:tcPr>
          <w:p w14:paraId="3B8ADE59" w14:textId="575BBDD2" w:rsidR="00C73A1D" w:rsidRDefault="00C73A1D" w:rsidP="005248B7">
            <w:pPr>
              <w:rPr>
                <w:rFonts w:ascii="Calibri" w:hAnsi="Calibri"/>
                <w:color w:val="000000"/>
              </w:rPr>
            </w:pPr>
            <w:r>
              <w:rPr>
                <w:rFonts w:ascii="Calibri" w:hAnsi="Calibri"/>
                <w:color w:val="000000"/>
              </w:rPr>
              <w:t xml:space="preserve">Deduct any amount consumed </w:t>
            </w:r>
            <w:r w:rsidR="00D06E07">
              <w:rPr>
                <w:rFonts w:ascii="Calibri" w:hAnsi="Calibri"/>
                <w:color w:val="000000"/>
              </w:rPr>
              <w:t xml:space="preserve">by the household </w:t>
            </w:r>
            <w:r>
              <w:rPr>
                <w:rFonts w:ascii="Calibri" w:hAnsi="Calibri"/>
                <w:color w:val="000000"/>
              </w:rPr>
              <w:t>or stored and not intended for sale</w:t>
            </w:r>
            <w:r w:rsidR="00AA6D0C">
              <w:rPr>
                <w:rFonts w:ascii="Calibri" w:hAnsi="Calibri"/>
                <w:color w:val="000000"/>
              </w:rPr>
              <w:t>.</w:t>
            </w:r>
          </w:p>
        </w:tc>
        <w:tc>
          <w:tcPr>
            <w:tcW w:w="2647" w:type="dxa"/>
          </w:tcPr>
          <w:p w14:paraId="3794D444" w14:textId="77777777" w:rsidR="00C73A1D" w:rsidRDefault="0077286D" w:rsidP="00354623">
            <w:r>
              <w:t>Change in storage capacity (in m</w:t>
            </w:r>
            <w:r>
              <w:rPr>
                <w:vertAlign w:val="superscript"/>
              </w:rPr>
              <w:t>3</w:t>
            </w:r>
            <w:r>
              <w:t>)</w:t>
            </w:r>
          </w:p>
          <w:p w14:paraId="63A01822" w14:textId="77777777" w:rsidR="0077286D" w:rsidRDefault="0077286D" w:rsidP="00354623"/>
          <w:p w14:paraId="6D268903" w14:textId="5961E711" w:rsidR="0077286D" w:rsidRDefault="0077286D" w:rsidP="00354623">
            <w:r>
              <w:t>Volume of post-harvest loss</w:t>
            </w:r>
          </w:p>
          <w:p w14:paraId="4B25CA69" w14:textId="77777777" w:rsidR="0077286D" w:rsidRDefault="0077286D" w:rsidP="00354623"/>
          <w:p w14:paraId="63D46C9D" w14:textId="03D2F3CB" w:rsidR="0077286D" w:rsidRPr="0077286D" w:rsidRDefault="0077286D" w:rsidP="00354623">
            <w:r>
              <w:t>Monetary value of post-harvest lost</w:t>
            </w:r>
          </w:p>
        </w:tc>
        <w:tc>
          <w:tcPr>
            <w:tcW w:w="2647" w:type="dxa"/>
          </w:tcPr>
          <w:p w14:paraId="3DCD915B" w14:textId="07E12851" w:rsidR="00C73A1D" w:rsidRDefault="00C73A1D" w:rsidP="005248B7"/>
        </w:tc>
      </w:tr>
      <w:tr w:rsidR="00C73A1D" w14:paraId="60A4D6ED" w14:textId="77777777" w:rsidTr="00800AB8">
        <w:tc>
          <w:tcPr>
            <w:tcW w:w="1645" w:type="dxa"/>
            <w:shd w:val="clear" w:color="auto" w:fill="auto"/>
          </w:tcPr>
          <w:p w14:paraId="5BEC4B40" w14:textId="7A633644" w:rsidR="00C73A1D" w:rsidRPr="00383B19" w:rsidRDefault="00C73A1D" w:rsidP="005248B7">
            <w:pPr>
              <w:rPr>
                <w:rFonts w:ascii="Calibri" w:hAnsi="Calibri"/>
                <w:b/>
                <w:bCs/>
                <w:color w:val="000000"/>
              </w:rPr>
            </w:pPr>
            <w:r w:rsidRPr="00383B19">
              <w:rPr>
                <w:rFonts w:ascii="Calibri" w:hAnsi="Calibri"/>
                <w:b/>
                <w:bCs/>
                <w:color w:val="000000"/>
              </w:rPr>
              <w:t>Productivity</w:t>
            </w:r>
          </w:p>
        </w:tc>
        <w:tc>
          <w:tcPr>
            <w:tcW w:w="3872" w:type="dxa"/>
            <w:shd w:val="clear" w:color="auto" w:fill="auto"/>
          </w:tcPr>
          <w:p w14:paraId="0DCFB050" w14:textId="24AC029D" w:rsidR="00C73A1D" w:rsidRDefault="00C73A1D" w:rsidP="005248B7">
            <w:pPr>
              <w:rPr>
                <w:rFonts w:ascii="Calibri" w:hAnsi="Calibri"/>
                <w:color w:val="000000"/>
                <w:bdr w:val="none" w:sz="0" w:space="0" w:color="auto" w:frame="1"/>
              </w:rPr>
            </w:pPr>
            <w:r>
              <w:rPr>
                <w:rFonts w:ascii="Calibri" w:hAnsi="Calibri"/>
                <w:color w:val="000000"/>
                <w:bdr w:val="none" w:sz="0" w:space="0" w:color="auto" w:frame="1"/>
              </w:rPr>
              <w:t xml:space="preserve">Productivity is a measure of output from a production process per unit of input. Output/Input </w:t>
            </w:r>
          </w:p>
          <w:p w14:paraId="1C9364C7" w14:textId="77777777" w:rsidR="00C73A1D" w:rsidRDefault="00C73A1D" w:rsidP="005248B7">
            <w:pPr>
              <w:rPr>
                <w:rFonts w:ascii="Calibri" w:hAnsi="Calibri"/>
                <w:color w:val="000000"/>
                <w:bdr w:val="none" w:sz="0" w:space="0" w:color="auto" w:frame="1"/>
              </w:rPr>
            </w:pPr>
          </w:p>
          <w:p w14:paraId="130FC3F3" w14:textId="2AEA7425" w:rsidR="00C73A1D" w:rsidRPr="001E34C7" w:rsidRDefault="00C73A1D" w:rsidP="005248B7">
            <w:pPr>
              <w:rPr>
                <w:rFonts w:ascii="Calibri" w:hAnsi="Calibri"/>
                <w:color w:val="000000"/>
                <w:bdr w:val="none" w:sz="0" w:space="0" w:color="auto" w:frame="1"/>
              </w:rPr>
            </w:pPr>
            <w:r>
              <w:rPr>
                <w:rFonts w:ascii="Calibri" w:hAnsi="Calibri"/>
                <w:color w:val="000000"/>
                <w:bdr w:val="none" w:sz="0" w:space="0" w:color="auto" w:frame="1"/>
              </w:rPr>
              <w:t>Productivity = TP / IC</w:t>
            </w:r>
          </w:p>
        </w:tc>
        <w:tc>
          <w:tcPr>
            <w:tcW w:w="2869" w:type="dxa"/>
            <w:shd w:val="clear" w:color="auto" w:fill="auto"/>
          </w:tcPr>
          <w:p w14:paraId="00B02082" w14:textId="5584583B" w:rsidR="00C73A1D" w:rsidRDefault="00C73A1D" w:rsidP="005248B7">
            <w:pPr>
              <w:rPr>
                <w:rFonts w:ascii="Calibri" w:hAnsi="Calibri"/>
                <w:color w:val="000000"/>
              </w:rPr>
            </w:pPr>
            <w:r>
              <w:rPr>
                <w:rFonts w:ascii="Calibri" w:hAnsi="Calibri"/>
                <w:color w:val="000000"/>
              </w:rPr>
              <w:t>Consider measuring productivity by the most limiting factor. This can vary in different contexts.</w:t>
            </w:r>
          </w:p>
        </w:tc>
        <w:tc>
          <w:tcPr>
            <w:tcW w:w="2647" w:type="dxa"/>
          </w:tcPr>
          <w:p w14:paraId="27524D3D" w14:textId="637F78C8" w:rsidR="00C73A1D" w:rsidRDefault="00C73A1D" w:rsidP="00354623"/>
        </w:tc>
        <w:tc>
          <w:tcPr>
            <w:tcW w:w="2647" w:type="dxa"/>
          </w:tcPr>
          <w:p w14:paraId="2F4AB8EB" w14:textId="67579DEC" w:rsidR="00C73A1D" w:rsidRDefault="00C73A1D" w:rsidP="005248B7">
            <w:r>
              <w:t xml:space="preserve">FAO </w:t>
            </w:r>
            <w:hyperlink r:id="rId13" w:history="1">
              <w:r w:rsidRPr="00BC3BE2">
                <w:rPr>
                  <w:rStyle w:val="Hyperlink"/>
                </w:rPr>
                <w:t>http://aims.fao.org/skosmos/agrovoc/en/page/c_6210</w:t>
              </w:r>
            </w:hyperlink>
          </w:p>
        </w:tc>
      </w:tr>
      <w:tr w:rsidR="00C73A1D" w14:paraId="3FC1F8B7" w14:textId="77777777" w:rsidTr="00800AB8">
        <w:tc>
          <w:tcPr>
            <w:tcW w:w="1645" w:type="dxa"/>
            <w:shd w:val="clear" w:color="auto" w:fill="auto"/>
          </w:tcPr>
          <w:p w14:paraId="2ED62DD9" w14:textId="73ABB032" w:rsidR="00C73A1D" w:rsidRPr="00383B19" w:rsidRDefault="00C73A1D" w:rsidP="005248B7">
            <w:pPr>
              <w:rPr>
                <w:rFonts w:ascii="Calibri" w:hAnsi="Calibri"/>
                <w:b/>
                <w:bCs/>
                <w:color w:val="000000"/>
              </w:rPr>
            </w:pPr>
            <w:r w:rsidRPr="00383B19">
              <w:rPr>
                <w:rFonts w:ascii="Calibri" w:hAnsi="Calibri"/>
                <w:b/>
                <w:bCs/>
                <w:color w:val="000000"/>
              </w:rPr>
              <w:t>Profit (P)</w:t>
            </w:r>
          </w:p>
        </w:tc>
        <w:tc>
          <w:tcPr>
            <w:tcW w:w="3872" w:type="dxa"/>
            <w:shd w:val="clear" w:color="auto" w:fill="auto"/>
          </w:tcPr>
          <w:p w14:paraId="3CC15E90" w14:textId="77777777" w:rsidR="00C73A1D" w:rsidRDefault="00C73A1D" w:rsidP="005248B7">
            <w:pPr>
              <w:rPr>
                <w:rFonts w:ascii="Calibri" w:hAnsi="Calibri"/>
                <w:color w:val="000000"/>
              </w:rPr>
            </w:pPr>
            <w:r>
              <w:rPr>
                <w:rFonts w:ascii="Calibri" w:hAnsi="Calibri"/>
                <w:color w:val="000000"/>
              </w:rPr>
              <w:t>Income from sale of agricultural products less input costs.</w:t>
            </w:r>
          </w:p>
          <w:p w14:paraId="292D4458" w14:textId="77777777" w:rsidR="00C73A1D" w:rsidRDefault="00C73A1D" w:rsidP="005248B7">
            <w:pPr>
              <w:rPr>
                <w:rFonts w:ascii="Calibri" w:hAnsi="Calibri"/>
                <w:color w:val="000000"/>
              </w:rPr>
            </w:pPr>
          </w:p>
          <w:p w14:paraId="69A998F3" w14:textId="4C498D5F" w:rsidR="00C73A1D" w:rsidRDefault="00C73A1D" w:rsidP="005248B7">
            <w:pPr>
              <w:rPr>
                <w:rFonts w:ascii="Calibri" w:hAnsi="Calibri"/>
                <w:color w:val="000000"/>
              </w:rPr>
            </w:pPr>
            <w:r>
              <w:rPr>
                <w:rFonts w:ascii="Calibri" w:hAnsi="Calibri"/>
                <w:color w:val="000000"/>
              </w:rPr>
              <w:t>P = I - IC</w:t>
            </w:r>
          </w:p>
        </w:tc>
        <w:tc>
          <w:tcPr>
            <w:tcW w:w="2869" w:type="dxa"/>
            <w:shd w:val="clear" w:color="auto" w:fill="auto"/>
          </w:tcPr>
          <w:p w14:paraId="2887BED4" w14:textId="01F34708" w:rsidR="00C73A1D" w:rsidRDefault="00C73A1D" w:rsidP="005248B7">
            <w:pPr>
              <w:rPr>
                <w:rFonts w:ascii="Calibri" w:hAnsi="Calibri"/>
                <w:color w:val="000000"/>
              </w:rPr>
            </w:pPr>
            <w:r>
              <w:rPr>
                <w:rFonts w:ascii="Calibri" w:hAnsi="Calibri"/>
                <w:color w:val="000000"/>
              </w:rPr>
              <w:t>Profit is the net income from an agricultural endeavor, not net household income.</w:t>
            </w:r>
          </w:p>
        </w:tc>
        <w:tc>
          <w:tcPr>
            <w:tcW w:w="2647" w:type="dxa"/>
          </w:tcPr>
          <w:p w14:paraId="483EAED0" w14:textId="14C8D321" w:rsidR="00354623" w:rsidRDefault="00354623" w:rsidP="00354623"/>
        </w:tc>
        <w:tc>
          <w:tcPr>
            <w:tcW w:w="2647" w:type="dxa"/>
          </w:tcPr>
          <w:p w14:paraId="617E2799" w14:textId="1B69E338" w:rsidR="00C73A1D" w:rsidRDefault="00C73A1D" w:rsidP="005248B7"/>
        </w:tc>
      </w:tr>
      <w:tr w:rsidR="00C73A1D" w14:paraId="5FA681C4" w14:textId="77777777" w:rsidTr="00800AB8">
        <w:tc>
          <w:tcPr>
            <w:tcW w:w="1645" w:type="dxa"/>
            <w:shd w:val="clear" w:color="auto" w:fill="auto"/>
          </w:tcPr>
          <w:p w14:paraId="0F6F600C" w14:textId="6155871D" w:rsidR="00C73A1D" w:rsidRPr="00383B19" w:rsidRDefault="00C73A1D" w:rsidP="005248B7">
            <w:pPr>
              <w:rPr>
                <w:rFonts w:ascii="Calibri" w:hAnsi="Calibri"/>
                <w:b/>
                <w:bCs/>
                <w:color w:val="000000"/>
              </w:rPr>
            </w:pPr>
            <w:r w:rsidRPr="00383B19">
              <w:rPr>
                <w:rFonts w:ascii="Calibri" w:hAnsi="Calibri"/>
                <w:b/>
                <w:bCs/>
                <w:color w:val="000000"/>
              </w:rPr>
              <w:t>Profit Margin (PM)</w:t>
            </w:r>
          </w:p>
        </w:tc>
        <w:tc>
          <w:tcPr>
            <w:tcW w:w="3872" w:type="dxa"/>
            <w:shd w:val="clear" w:color="auto" w:fill="auto"/>
          </w:tcPr>
          <w:p w14:paraId="6F62BF26" w14:textId="75ED0810" w:rsidR="00C73A1D" w:rsidRDefault="00C73A1D" w:rsidP="005248B7">
            <w:pPr>
              <w:rPr>
                <w:rFonts w:ascii="Calibri" w:hAnsi="Calibri"/>
                <w:color w:val="000000"/>
              </w:rPr>
            </w:pPr>
            <w:r>
              <w:rPr>
                <w:rFonts w:ascii="Calibri" w:hAnsi="Calibri"/>
                <w:color w:val="000000"/>
              </w:rPr>
              <w:t>A ratio of profitability calculated as</w:t>
            </w:r>
            <w:r w:rsidR="009C4028">
              <w:rPr>
                <w:rFonts w:ascii="Calibri" w:hAnsi="Calibri"/>
                <w:color w:val="000000"/>
              </w:rPr>
              <w:t xml:space="preserve"> net profits divided by sales</w:t>
            </w:r>
            <w:r w:rsidR="00EB6E7E">
              <w:rPr>
                <w:rFonts w:ascii="Calibri" w:hAnsi="Calibri"/>
                <w:color w:val="000000"/>
              </w:rPr>
              <w:t>,</w:t>
            </w:r>
            <w:r w:rsidR="009C4028">
              <w:rPr>
                <w:rFonts w:ascii="Calibri" w:hAnsi="Calibri"/>
                <w:color w:val="000000"/>
              </w:rPr>
              <w:t xml:space="preserve"> i.e. h</w:t>
            </w:r>
            <w:r>
              <w:rPr>
                <w:rFonts w:ascii="Calibri" w:hAnsi="Calibri"/>
                <w:color w:val="000000"/>
              </w:rPr>
              <w:t>ow much profit is generated for each dollar in sales.</w:t>
            </w:r>
          </w:p>
          <w:p w14:paraId="12928DB4" w14:textId="77777777" w:rsidR="00C73A1D" w:rsidRDefault="00C73A1D" w:rsidP="005248B7">
            <w:pPr>
              <w:rPr>
                <w:rFonts w:ascii="Calibri" w:hAnsi="Calibri"/>
                <w:color w:val="000000"/>
              </w:rPr>
            </w:pPr>
          </w:p>
          <w:p w14:paraId="3EC45E7D" w14:textId="355094A1" w:rsidR="00C73A1D" w:rsidRDefault="00C73A1D" w:rsidP="005248B7">
            <w:pPr>
              <w:rPr>
                <w:rFonts w:ascii="Calibri" w:hAnsi="Calibri"/>
                <w:color w:val="000000"/>
              </w:rPr>
            </w:pPr>
            <w:r>
              <w:rPr>
                <w:rFonts w:ascii="Calibri" w:hAnsi="Calibri"/>
                <w:color w:val="000000"/>
              </w:rPr>
              <w:t>PM = P / VS</w:t>
            </w:r>
          </w:p>
        </w:tc>
        <w:tc>
          <w:tcPr>
            <w:tcW w:w="2869" w:type="dxa"/>
            <w:shd w:val="clear" w:color="auto" w:fill="auto"/>
          </w:tcPr>
          <w:p w14:paraId="0E69A8BF" w14:textId="1B52E558" w:rsidR="00C73A1D" w:rsidRDefault="00C73A1D" w:rsidP="005248B7">
            <w:pPr>
              <w:rPr>
                <w:rFonts w:ascii="Calibri" w:hAnsi="Calibri"/>
                <w:color w:val="000000"/>
              </w:rPr>
            </w:pPr>
          </w:p>
        </w:tc>
        <w:tc>
          <w:tcPr>
            <w:tcW w:w="2647" w:type="dxa"/>
          </w:tcPr>
          <w:p w14:paraId="56845912" w14:textId="5A0DBAE7" w:rsidR="00C73A1D" w:rsidRDefault="00C73A1D" w:rsidP="005248B7"/>
        </w:tc>
        <w:tc>
          <w:tcPr>
            <w:tcW w:w="2647" w:type="dxa"/>
          </w:tcPr>
          <w:p w14:paraId="44E6A721" w14:textId="27C548BE" w:rsidR="00C73A1D" w:rsidRDefault="009F311F" w:rsidP="005248B7">
            <w:hyperlink r:id="rId14" w:anchor="ixzz3h7gSM4i1" w:history="1">
              <w:r w:rsidR="00C73A1D" w:rsidRPr="0084198D">
                <w:rPr>
                  <w:rStyle w:val="Hyperlink"/>
                </w:rPr>
                <w:t>http://www.investopedia.com/terms/p/profitmargin.asp#ixzz3h7gSM4i1</w:t>
              </w:r>
            </w:hyperlink>
          </w:p>
        </w:tc>
      </w:tr>
      <w:tr w:rsidR="00C73A1D" w14:paraId="6AAD6E3C" w14:textId="77777777" w:rsidTr="00800AB8">
        <w:tc>
          <w:tcPr>
            <w:tcW w:w="1645" w:type="dxa"/>
            <w:shd w:val="clear" w:color="auto" w:fill="auto"/>
          </w:tcPr>
          <w:p w14:paraId="11CD21CF" w14:textId="3F0C33C7" w:rsidR="00C73A1D" w:rsidRPr="00383B19" w:rsidRDefault="00C73A1D" w:rsidP="005248B7">
            <w:pPr>
              <w:rPr>
                <w:rFonts w:ascii="Calibri" w:hAnsi="Calibri"/>
                <w:b/>
                <w:bCs/>
                <w:color w:val="000000"/>
              </w:rPr>
            </w:pPr>
            <w:r w:rsidRPr="00383B19">
              <w:rPr>
                <w:rFonts w:ascii="Calibri" w:hAnsi="Calibri"/>
                <w:b/>
                <w:bCs/>
                <w:color w:val="000000"/>
              </w:rPr>
              <w:t>Quality</w:t>
            </w:r>
          </w:p>
        </w:tc>
        <w:tc>
          <w:tcPr>
            <w:tcW w:w="3872" w:type="dxa"/>
            <w:shd w:val="clear" w:color="auto" w:fill="auto"/>
          </w:tcPr>
          <w:p w14:paraId="76A57E1F" w14:textId="7CBF2D49" w:rsidR="00C73A1D" w:rsidRDefault="00C73A1D" w:rsidP="005248B7">
            <w:pPr>
              <w:rPr>
                <w:rFonts w:ascii="Calibri" w:hAnsi="Calibri"/>
                <w:i/>
                <w:iCs/>
                <w:color w:val="000000"/>
                <w:bdr w:val="none" w:sz="0" w:space="0" w:color="auto" w:frame="1"/>
              </w:rPr>
            </w:pPr>
            <w:r>
              <w:rPr>
                <w:rFonts w:ascii="Calibri" w:hAnsi="Calibri"/>
                <w:i/>
                <w:iCs/>
                <w:color w:val="000000"/>
                <w:bdr w:val="none" w:sz="0" w:space="0" w:color="auto" w:frame="1"/>
              </w:rPr>
              <w:t xml:space="preserve">Quality is the </w:t>
            </w:r>
            <w:r w:rsidR="005248B7">
              <w:rPr>
                <w:rFonts w:ascii="Calibri" w:hAnsi="Calibri"/>
                <w:i/>
                <w:iCs/>
                <w:color w:val="000000"/>
                <w:bdr w:val="none" w:sz="0" w:space="0" w:color="auto" w:frame="1"/>
              </w:rPr>
              <w:t>level of value</w:t>
            </w:r>
            <w:r>
              <w:rPr>
                <w:rFonts w:ascii="Calibri" w:hAnsi="Calibri"/>
                <w:i/>
                <w:iCs/>
                <w:color w:val="000000"/>
                <w:bdr w:val="none" w:sz="0" w:space="0" w:color="auto" w:frame="1"/>
              </w:rPr>
              <w:t xml:space="preserve"> of a product </w:t>
            </w:r>
            <w:r w:rsidR="005248B7">
              <w:rPr>
                <w:rFonts w:ascii="Calibri" w:hAnsi="Calibri"/>
                <w:i/>
                <w:iCs/>
                <w:color w:val="000000"/>
                <w:bdr w:val="none" w:sz="0" w:space="0" w:color="auto" w:frame="1"/>
              </w:rPr>
              <w:t xml:space="preserve">or service </w:t>
            </w:r>
            <w:r>
              <w:rPr>
                <w:rFonts w:ascii="Calibri" w:hAnsi="Calibri"/>
                <w:i/>
                <w:iCs/>
                <w:color w:val="000000"/>
                <w:bdr w:val="none" w:sz="0" w:space="0" w:color="auto" w:frame="1"/>
              </w:rPr>
              <w:t>based upon a defined standard. A measure of quality depends on the local context.</w:t>
            </w:r>
          </w:p>
          <w:p w14:paraId="45E474AE" w14:textId="77777777" w:rsidR="00C73A1D" w:rsidRDefault="00C73A1D" w:rsidP="005248B7">
            <w:pPr>
              <w:rPr>
                <w:rFonts w:ascii="Calibri" w:hAnsi="Calibri"/>
                <w:i/>
                <w:iCs/>
                <w:color w:val="000000"/>
                <w:bdr w:val="none" w:sz="0" w:space="0" w:color="auto" w:frame="1"/>
              </w:rPr>
            </w:pPr>
          </w:p>
          <w:p w14:paraId="0596C15E" w14:textId="685D1625" w:rsidR="00C73A1D" w:rsidRPr="001E34C7" w:rsidRDefault="00C73A1D" w:rsidP="005248B7">
            <w:pPr>
              <w:rPr>
                <w:rFonts w:ascii="Calibri" w:hAnsi="Calibri"/>
                <w:i/>
                <w:iCs/>
                <w:color w:val="000000"/>
                <w:bdr w:val="none" w:sz="0" w:space="0" w:color="auto" w:frame="1"/>
              </w:rPr>
            </w:pPr>
            <w:r w:rsidRPr="001E34C7">
              <w:rPr>
                <w:rFonts w:ascii="Calibri" w:hAnsi="Calibri"/>
                <w:i/>
                <w:color w:val="000000"/>
                <w:bdr w:val="none" w:sz="0" w:space="0" w:color="auto" w:frame="1"/>
              </w:rPr>
              <w:t>Increased quality can lead to higher value of sales and, depending on input costs, higher profit and household income.</w:t>
            </w:r>
          </w:p>
        </w:tc>
        <w:tc>
          <w:tcPr>
            <w:tcW w:w="2869" w:type="dxa"/>
            <w:shd w:val="clear" w:color="auto" w:fill="auto"/>
          </w:tcPr>
          <w:p w14:paraId="0384EB59" w14:textId="77777777" w:rsidR="00C73A1D" w:rsidRDefault="00C73A1D" w:rsidP="005248B7">
            <w:pPr>
              <w:rPr>
                <w:rFonts w:ascii="Calibri" w:hAnsi="Calibri"/>
                <w:i/>
                <w:color w:val="000000"/>
              </w:rPr>
            </w:pPr>
            <w:r>
              <w:rPr>
                <w:rFonts w:ascii="Calibri" w:hAnsi="Calibri"/>
                <w:i/>
                <w:color w:val="000000"/>
              </w:rPr>
              <w:t>Must establish what standard of quality is being considered for indicator.</w:t>
            </w:r>
          </w:p>
          <w:p w14:paraId="1D4571A7" w14:textId="77777777" w:rsidR="00C73A1D" w:rsidRDefault="00C73A1D" w:rsidP="005248B7">
            <w:pPr>
              <w:rPr>
                <w:rFonts w:ascii="Calibri" w:hAnsi="Calibri"/>
                <w:i/>
                <w:color w:val="000000"/>
              </w:rPr>
            </w:pPr>
          </w:p>
          <w:p w14:paraId="0C25CF9D" w14:textId="77777777" w:rsidR="00C73A1D" w:rsidRPr="001E34C7" w:rsidRDefault="00C73A1D" w:rsidP="005248B7">
            <w:pPr>
              <w:rPr>
                <w:rFonts w:ascii="Calibri" w:hAnsi="Calibri"/>
                <w:i/>
                <w:color w:val="000000"/>
              </w:rPr>
            </w:pPr>
            <w:r w:rsidRPr="001E34C7">
              <w:rPr>
                <w:rFonts w:ascii="Calibri" w:hAnsi="Calibri"/>
                <w:i/>
                <w:color w:val="000000"/>
              </w:rPr>
              <w:t>e.g. Size of product unit, durability , lifespan of product (spoiling), taste, unique certification, etc.</w:t>
            </w:r>
          </w:p>
        </w:tc>
        <w:tc>
          <w:tcPr>
            <w:tcW w:w="2647" w:type="dxa"/>
          </w:tcPr>
          <w:p w14:paraId="4864A0B4" w14:textId="6FCA06B5" w:rsidR="00C73A1D" w:rsidRDefault="00A3341D" w:rsidP="00A3341D">
            <w:r>
              <w:t>Change in th</w:t>
            </w:r>
            <w:r w:rsidR="009D6B01">
              <w:t>e amount of product</w:t>
            </w:r>
            <w:r>
              <w:t xml:space="preserve"> that meets quality standard [must define </w:t>
            </w:r>
            <w:r w:rsidR="00EB6E7E">
              <w:t>“</w:t>
            </w:r>
            <w:r>
              <w:t>quality standard</w:t>
            </w:r>
            <w:r w:rsidR="00EB6E7E">
              <w:t>”</w:t>
            </w:r>
            <w:r>
              <w:t>]</w:t>
            </w:r>
          </w:p>
        </w:tc>
        <w:tc>
          <w:tcPr>
            <w:tcW w:w="2647" w:type="dxa"/>
          </w:tcPr>
          <w:p w14:paraId="3E33F792" w14:textId="2E59DC49" w:rsidR="00C73A1D" w:rsidRDefault="00C73A1D" w:rsidP="005248B7"/>
        </w:tc>
      </w:tr>
      <w:tr w:rsidR="00C73A1D" w14:paraId="062ACB78" w14:textId="77777777" w:rsidTr="00800AB8">
        <w:tc>
          <w:tcPr>
            <w:tcW w:w="1645" w:type="dxa"/>
            <w:shd w:val="clear" w:color="auto" w:fill="auto"/>
          </w:tcPr>
          <w:p w14:paraId="1A6AD79B" w14:textId="64C30584" w:rsidR="00C73A1D" w:rsidRPr="00383B19" w:rsidRDefault="00C73A1D" w:rsidP="005248B7">
            <w:pPr>
              <w:rPr>
                <w:rFonts w:ascii="Calibri" w:hAnsi="Calibri"/>
                <w:b/>
                <w:color w:val="000000"/>
              </w:rPr>
            </w:pPr>
            <w:r w:rsidRPr="00383B19">
              <w:rPr>
                <w:rFonts w:ascii="Calibri" w:hAnsi="Calibri"/>
                <w:b/>
                <w:color w:val="000000"/>
              </w:rPr>
              <w:t>Quantity (volume)</w:t>
            </w:r>
            <w:r w:rsidR="0023288D">
              <w:rPr>
                <w:rFonts w:ascii="Calibri" w:hAnsi="Calibri"/>
                <w:b/>
                <w:color w:val="000000"/>
              </w:rPr>
              <w:t xml:space="preserve"> </w:t>
            </w:r>
            <w:r w:rsidRPr="00383B19">
              <w:rPr>
                <w:rFonts w:ascii="Calibri" w:hAnsi="Calibri"/>
                <w:b/>
                <w:color w:val="000000"/>
              </w:rPr>
              <w:t>of Sales (QS)</w:t>
            </w:r>
          </w:p>
        </w:tc>
        <w:tc>
          <w:tcPr>
            <w:tcW w:w="3872" w:type="dxa"/>
            <w:shd w:val="clear" w:color="auto" w:fill="auto"/>
          </w:tcPr>
          <w:p w14:paraId="0FDE06B1" w14:textId="7BC834FA" w:rsidR="00C73A1D" w:rsidRPr="00614E29" w:rsidRDefault="00C73A1D" w:rsidP="005248B7">
            <w:pPr>
              <w:rPr>
                <w:rFonts w:ascii="Calibri" w:hAnsi="Calibri"/>
                <w:b/>
                <w:bCs/>
                <w:color w:val="000000"/>
              </w:rPr>
            </w:pPr>
            <w:r>
              <w:rPr>
                <w:rFonts w:ascii="Calibri" w:hAnsi="Calibri"/>
                <w:color w:val="000000"/>
              </w:rPr>
              <w:t>Total quantity (volume) of agricultural product sold.</w:t>
            </w:r>
            <w:r w:rsidR="00614E29">
              <w:rPr>
                <w:rFonts w:ascii="Calibri" w:hAnsi="Calibri"/>
                <w:color w:val="000000"/>
              </w:rPr>
              <w:t xml:space="preserve"> This is a necessary data point for measuring gross margin.</w:t>
            </w:r>
          </w:p>
        </w:tc>
        <w:tc>
          <w:tcPr>
            <w:tcW w:w="2869" w:type="dxa"/>
            <w:shd w:val="clear" w:color="auto" w:fill="auto"/>
          </w:tcPr>
          <w:p w14:paraId="53B35C50" w14:textId="5EB2ED2B" w:rsidR="00C73A1D" w:rsidRDefault="00C73A1D" w:rsidP="002A44A6">
            <w:pPr>
              <w:rPr>
                <w:rFonts w:ascii="Calibri" w:hAnsi="Calibri"/>
                <w:color w:val="000000"/>
              </w:rPr>
            </w:pPr>
            <w:r>
              <w:rPr>
                <w:rFonts w:ascii="Calibri" w:hAnsi="Calibri"/>
                <w:color w:val="000000"/>
              </w:rPr>
              <w:t>Measurement depends on whether target population sells at one or more point throughout the year.</w:t>
            </w:r>
          </w:p>
        </w:tc>
        <w:tc>
          <w:tcPr>
            <w:tcW w:w="2647" w:type="dxa"/>
          </w:tcPr>
          <w:p w14:paraId="64B01CB4" w14:textId="77777777" w:rsidR="00C73A1D" w:rsidRDefault="00C73A1D" w:rsidP="005248B7"/>
        </w:tc>
        <w:tc>
          <w:tcPr>
            <w:tcW w:w="2647" w:type="dxa"/>
          </w:tcPr>
          <w:p w14:paraId="57BE73A0" w14:textId="5775FE78" w:rsidR="00C73A1D" w:rsidRDefault="00C73A1D" w:rsidP="005248B7">
            <w:r>
              <w:t>See Gross Margin</w:t>
            </w:r>
          </w:p>
          <w:p w14:paraId="406696EB" w14:textId="77777777" w:rsidR="00C73A1D" w:rsidRDefault="00C73A1D" w:rsidP="005248B7"/>
          <w:p w14:paraId="3C36F2F5" w14:textId="3A54650F" w:rsidR="00C73A1D" w:rsidRDefault="009F311F" w:rsidP="005248B7">
            <w:pPr>
              <w:rPr>
                <w:rStyle w:val="Hyperlink"/>
              </w:rPr>
            </w:pPr>
            <w:hyperlink r:id="rId15" w:history="1">
              <w:r w:rsidR="00C73A1D" w:rsidRPr="00FD53C3">
                <w:rPr>
                  <w:rStyle w:val="Hyperlink"/>
                </w:rPr>
                <w:t>https://agrilinks.org/sites/default/files/resource/files/FTF_Agriculture_Guide_Jan2014.pdf</w:t>
              </w:r>
            </w:hyperlink>
          </w:p>
          <w:p w14:paraId="69B2A9D9" w14:textId="0749A4FB" w:rsidR="00C73A1D" w:rsidRPr="000D4A65" w:rsidRDefault="00C73A1D" w:rsidP="005248B7">
            <w:r>
              <w:rPr>
                <w:rStyle w:val="Hyperlink"/>
                <w:color w:val="auto"/>
                <w:u w:val="none"/>
              </w:rPr>
              <w:t>Appendix 1 pg. 84</w:t>
            </w:r>
          </w:p>
        </w:tc>
      </w:tr>
      <w:tr w:rsidR="00C73A1D" w14:paraId="3DC5F442" w14:textId="77777777" w:rsidTr="00800AB8">
        <w:tc>
          <w:tcPr>
            <w:tcW w:w="1645" w:type="dxa"/>
            <w:shd w:val="clear" w:color="auto" w:fill="auto"/>
          </w:tcPr>
          <w:p w14:paraId="32CC61B5" w14:textId="19F287C9" w:rsidR="00C73A1D" w:rsidRPr="00383B19" w:rsidRDefault="00C73A1D" w:rsidP="005248B7">
            <w:pPr>
              <w:rPr>
                <w:rFonts w:ascii="Calibri" w:hAnsi="Calibri"/>
                <w:b/>
                <w:color w:val="000000"/>
              </w:rPr>
            </w:pPr>
            <w:r w:rsidRPr="00383B19">
              <w:rPr>
                <w:rFonts w:ascii="Calibri" w:hAnsi="Calibri"/>
                <w:b/>
                <w:color w:val="000000"/>
              </w:rPr>
              <w:t>Total Production (TP)</w:t>
            </w:r>
          </w:p>
        </w:tc>
        <w:tc>
          <w:tcPr>
            <w:tcW w:w="3872" w:type="dxa"/>
            <w:shd w:val="clear" w:color="auto" w:fill="auto"/>
          </w:tcPr>
          <w:p w14:paraId="65CD2F8C" w14:textId="4262E0CB" w:rsidR="00C73A1D" w:rsidRDefault="00C73A1D" w:rsidP="005248B7">
            <w:pPr>
              <w:rPr>
                <w:rFonts w:ascii="Calibri" w:hAnsi="Calibri"/>
                <w:color w:val="000000"/>
              </w:rPr>
            </w:pPr>
            <w:r>
              <w:rPr>
                <w:rFonts w:ascii="Calibri" w:hAnsi="Calibri"/>
                <w:color w:val="000000"/>
              </w:rPr>
              <w:t>The total quantity of agricultural product produced by target population.</w:t>
            </w:r>
            <w:r w:rsidR="00614E29">
              <w:rPr>
                <w:rFonts w:ascii="Calibri" w:hAnsi="Calibri"/>
                <w:color w:val="000000"/>
              </w:rPr>
              <w:t xml:space="preserve"> This is a necessary data point for measuring gross margin.</w:t>
            </w:r>
          </w:p>
        </w:tc>
        <w:tc>
          <w:tcPr>
            <w:tcW w:w="2869" w:type="dxa"/>
            <w:shd w:val="clear" w:color="auto" w:fill="auto"/>
          </w:tcPr>
          <w:p w14:paraId="0BA6030D" w14:textId="5B1E0F70" w:rsidR="00C73A1D" w:rsidRDefault="00C73A1D" w:rsidP="005248B7">
            <w:pPr>
              <w:rPr>
                <w:rFonts w:ascii="Calibri" w:hAnsi="Calibri"/>
                <w:color w:val="000000"/>
              </w:rPr>
            </w:pPr>
            <w:r>
              <w:rPr>
                <w:rFonts w:ascii="Calibri" w:hAnsi="Calibri"/>
                <w:color w:val="000000"/>
              </w:rPr>
              <w:t>Measured at end of growing season/harvest.</w:t>
            </w:r>
          </w:p>
        </w:tc>
        <w:tc>
          <w:tcPr>
            <w:tcW w:w="2647" w:type="dxa"/>
          </w:tcPr>
          <w:p w14:paraId="5DD9122A" w14:textId="77777777" w:rsidR="00C73A1D" w:rsidRDefault="00C73A1D" w:rsidP="005248B7"/>
        </w:tc>
        <w:tc>
          <w:tcPr>
            <w:tcW w:w="2647" w:type="dxa"/>
          </w:tcPr>
          <w:p w14:paraId="0F189983" w14:textId="534A20CC" w:rsidR="00C73A1D" w:rsidRDefault="00C73A1D" w:rsidP="005248B7">
            <w:r>
              <w:t>See Gross Margin</w:t>
            </w:r>
          </w:p>
        </w:tc>
      </w:tr>
      <w:tr w:rsidR="00C73A1D" w14:paraId="11355544" w14:textId="77777777" w:rsidTr="00800AB8">
        <w:tc>
          <w:tcPr>
            <w:tcW w:w="1645" w:type="dxa"/>
            <w:shd w:val="clear" w:color="auto" w:fill="auto"/>
          </w:tcPr>
          <w:p w14:paraId="6E384E42" w14:textId="77777777" w:rsidR="00C73A1D" w:rsidRPr="00383B19" w:rsidRDefault="00C73A1D" w:rsidP="005248B7">
            <w:pPr>
              <w:rPr>
                <w:rFonts w:ascii="Calibri" w:hAnsi="Calibri"/>
                <w:b/>
                <w:color w:val="000000"/>
              </w:rPr>
            </w:pPr>
            <w:r w:rsidRPr="00383B19">
              <w:rPr>
                <w:rFonts w:ascii="Calibri" w:hAnsi="Calibri"/>
                <w:b/>
                <w:color w:val="000000"/>
              </w:rPr>
              <w:t>Units of Production (UP)</w:t>
            </w:r>
          </w:p>
        </w:tc>
        <w:tc>
          <w:tcPr>
            <w:tcW w:w="3872" w:type="dxa"/>
            <w:shd w:val="clear" w:color="auto" w:fill="auto"/>
          </w:tcPr>
          <w:p w14:paraId="2EF49DF7" w14:textId="231E740F" w:rsidR="00C73A1D" w:rsidRDefault="00C73A1D" w:rsidP="005248B7">
            <w:pPr>
              <w:rPr>
                <w:rFonts w:ascii="Calibri" w:hAnsi="Calibri"/>
                <w:color w:val="000000"/>
              </w:rPr>
            </w:pPr>
            <w:r>
              <w:rPr>
                <w:rFonts w:ascii="Calibri" w:hAnsi="Calibri"/>
                <w:color w:val="000000"/>
              </w:rPr>
              <w:t>Total number of distinct units producing an agricultural product.</w:t>
            </w:r>
            <w:r w:rsidR="00614E29">
              <w:rPr>
                <w:rFonts w:ascii="Calibri" w:hAnsi="Calibri"/>
                <w:color w:val="000000"/>
              </w:rPr>
              <w:t xml:space="preserve"> This is a necessary data point for measuring gross margin.</w:t>
            </w:r>
          </w:p>
          <w:p w14:paraId="795CC7EC" w14:textId="77777777" w:rsidR="00C73A1D" w:rsidRDefault="00C73A1D" w:rsidP="005248B7">
            <w:pPr>
              <w:rPr>
                <w:rFonts w:ascii="Calibri" w:hAnsi="Calibri"/>
                <w:color w:val="000000"/>
              </w:rPr>
            </w:pPr>
          </w:p>
          <w:p w14:paraId="011F225B" w14:textId="686E324C" w:rsidR="00C73A1D" w:rsidRDefault="00C73A1D" w:rsidP="005248B7">
            <w:pPr>
              <w:rPr>
                <w:rFonts w:ascii="Calibri" w:hAnsi="Calibri"/>
                <w:color w:val="000000"/>
              </w:rPr>
            </w:pPr>
            <w:r>
              <w:rPr>
                <w:rFonts w:ascii="Calibri" w:hAnsi="Calibri"/>
                <w:color w:val="000000"/>
              </w:rPr>
              <w:t>e.g. Ha planted, number of animals, number of cages, etc.</w:t>
            </w:r>
          </w:p>
        </w:tc>
        <w:tc>
          <w:tcPr>
            <w:tcW w:w="2869" w:type="dxa"/>
            <w:shd w:val="clear" w:color="auto" w:fill="auto"/>
          </w:tcPr>
          <w:p w14:paraId="2275B196" w14:textId="34702F63" w:rsidR="00C73A1D" w:rsidRDefault="00C73A1D" w:rsidP="005248B7">
            <w:pPr>
              <w:rPr>
                <w:rFonts w:ascii="Calibri" w:hAnsi="Calibri"/>
                <w:color w:val="000000"/>
              </w:rPr>
            </w:pPr>
            <w:r>
              <w:rPr>
                <w:rFonts w:ascii="Calibri" w:hAnsi="Calibri"/>
                <w:color w:val="000000"/>
              </w:rPr>
              <w:t>If a shock destroys some units of production (e.g</w:t>
            </w:r>
            <w:r w:rsidR="00E6267F">
              <w:rPr>
                <w:rFonts w:ascii="Calibri" w:hAnsi="Calibri"/>
                <w:color w:val="000000"/>
              </w:rPr>
              <w:t>.</w:t>
            </w:r>
            <w:r>
              <w:rPr>
                <w:rFonts w:ascii="Calibri" w:hAnsi="Calibri"/>
                <w:color w:val="000000"/>
              </w:rPr>
              <w:t xml:space="preserve"> flood</w:t>
            </w:r>
            <w:r w:rsidR="00A658A7">
              <w:rPr>
                <w:rFonts w:ascii="Calibri" w:hAnsi="Calibri"/>
                <w:color w:val="000000"/>
              </w:rPr>
              <w:t>s</w:t>
            </w:r>
            <w:r>
              <w:rPr>
                <w:rFonts w:ascii="Calibri" w:hAnsi="Calibri"/>
                <w:color w:val="000000"/>
              </w:rPr>
              <w:t>, pests, drought)</w:t>
            </w:r>
            <w:r w:rsidR="00EB6E7E">
              <w:rPr>
                <w:rFonts w:ascii="Calibri" w:hAnsi="Calibri"/>
                <w:color w:val="000000"/>
              </w:rPr>
              <w:t>,</w:t>
            </w:r>
            <w:r>
              <w:rPr>
                <w:rFonts w:ascii="Calibri" w:hAnsi="Calibri"/>
                <w:color w:val="000000"/>
              </w:rPr>
              <w:t xml:space="preserve"> do you use initial UP or harvested UP for calculations?</w:t>
            </w:r>
            <w:r>
              <w:rPr>
                <w:rFonts w:ascii="Calibri" w:hAnsi="Calibri"/>
                <w:color w:val="000000"/>
                <w:sz w:val="16"/>
                <w:szCs w:val="16"/>
              </w:rPr>
              <w:t> </w:t>
            </w:r>
          </w:p>
        </w:tc>
        <w:tc>
          <w:tcPr>
            <w:tcW w:w="2647" w:type="dxa"/>
          </w:tcPr>
          <w:p w14:paraId="2D32AA98" w14:textId="77777777" w:rsidR="00C73A1D" w:rsidRDefault="00C73A1D" w:rsidP="005248B7"/>
        </w:tc>
        <w:tc>
          <w:tcPr>
            <w:tcW w:w="2647" w:type="dxa"/>
          </w:tcPr>
          <w:p w14:paraId="32A2236A" w14:textId="6B9AD036" w:rsidR="00C73A1D" w:rsidRDefault="00C73A1D" w:rsidP="005248B7">
            <w:r>
              <w:t>See Gross Margin</w:t>
            </w:r>
          </w:p>
        </w:tc>
      </w:tr>
      <w:tr w:rsidR="00C73A1D" w14:paraId="635526E9" w14:textId="77777777" w:rsidTr="00800AB8">
        <w:tc>
          <w:tcPr>
            <w:tcW w:w="1645" w:type="dxa"/>
            <w:shd w:val="clear" w:color="auto" w:fill="auto"/>
          </w:tcPr>
          <w:p w14:paraId="4614D2EE" w14:textId="77777777" w:rsidR="00C73A1D" w:rsidRPr="00383B19" w:rsidRDefault="00C73A1D" w:rsidP="005248B7">
            <w:pPr>
              <w:rPr>
                <w:rFonts w:ascii="Calibri" w:hAnsi="Calibri"/>
                <w:b/>
                <w:bCs/>
                <w:color w:val="000000"/>
              </w:rPr>
            </w:pPr>
            <w:r w:rsidRPr="00383B19">
              <w:rPr>
                <w:rFonts w:ascii="Calibri" w:hAnsi="Calibri"/>
                <w:b/>
                <w:bCs/>
                <w:color w:val="000000"/>
              </w:rPr>
              <w:t>Value Added</w:t>
            </w:r>
          </w:p>
        </w:tc>
        <w:tc>
          <w:tcPr>
            <w:tcW w:w="3872" w:type="dxa"/>
            <w:shd w:val="clear" w:color="auto" w:fill="auto"/>
          </w:tcPr>
          <w:p w14:paraId="27ECBFA7" w14:textId="77777777" w:rsidR="00C73A1D" w:rsidRDefault="00C73A1D" w:rsidP="005248B7">
            <w:pPr>
              <w:rPr>
                <w:rFonts w:ascii="Calibri" w:hAnsi="Calibri"/>
                <w:color w:val="000000"/>
                <w:bdr w:val="none" w:sz="0" w:space="0" w:color="auto" w:frame="1"/>
              </w:rPr>
            </w:pPr>
            <w:r>
              <w:rPr>
                <w:rFonts w:ascii="Calibri" w:hAnsi="Calibri"/>
                <w:color w:val="000000"/>
                <w:bdr w:val="none" w:sz="0" w:space="0" w:color="auto" w:frame="1"/>
              </w:rPr>
              <w:t xml:space="preserve">“Process of </w:t>
            </w:r>
            <w:r>
              <w:rPr>
                <w:rFonts w:ascii="Calibri" w:hAnsi="Calibri"/>
                <w:b/>
                <w:bCs/>
                <w:color w:val="000000"/>
                <w:bdr w:val="none" w:sz="0" w:space="0" w:color="auto" w:frame="1"/>
              </w:rPr>
              <w:t>capturing</w:t>
            </w:r>
            <w:r>
              <w:rPr>
                <w:rFonts w:ascii="Calibri" w:hAnsi="Calibri"/>
                <w:color w:val="000000"/>
                <w:bdr w:val="none" w:sz="0" w:space="0" w:color="auto" w:frame="1"/>
              </w:rPr>
              <w:t xml:space="preserve"> or </w:t>
            </w:r>
            <w:r>
              <w:rPr>
                <w:rFonts w:ascii="Calibri" w:hAnsi="Calibri"/>
                <w:b/>
                <w:bCs/>
                <w:color w:val="000000"/>
                <w:bdr w:val="none" w:sz="0" w:space="0" w:color="auto" w:frame="1"/>
              </w:rPr>
              <w:t>creating</w:t>
            </w:r>
            <w:r>
              <w:rPr>
                <w:rFonts w:ascii="Calibri" w:hAnsi="Calibri"/>
                <w:color w:val="000000"/>
                <w:bdr w:val="none" w:sz="0" w:space="0" w:color="auto" w:frame="1"/>
              </w:rPr>
              <w:t xml:space="preserve"> value in a product to garner a greater portion of the value of that product at final sale.” Dr. Joe Parcell, University of Missouri for USDA Rural Development</w:t>
            </w:r>
          </w:p>
          <w:p w14:paraId="40813AE4" w14:textId="77777777" w:rsidR="00C73A1D" w:rsidRDefault="00C73A1D" w:rsidP="005248B7">
            <w:pPr>
              <w:rPr>
                <w:rFonts w:ascii="Calibri" w:hAnsi="Calibri"/>
                <w:color w:val="000000"/>
                <w:bdr w:val="none" w:sz="0" w:space="0" w:color="auto" w:frame="1"/>
              </w:rPr>
            </w:pPr>
          </w:p>
          <w:p w14:paraId="6A99D4E6" w14:textId="086A0858" w:rsidR="00C73A1D" w:rsidRDefault="00C73A1D" w:rsidP="00BC17CA">
            <w:pPr>
              <w:rPr>
                <w:rFonts w:ascii="Calibri" w:hAnsi="Calibri"/>
                <w:color w:val="000000"/>
              </w:rPr>
            </w:pPr>
            <w:r>
              <w:rPr>
                <w:rFonts w:ascii="Calibri" w:hAnsi="Calibri"/>
                <w:b/>
                <w:bCs/>
                <w:color w:val="000000"/>
              </w:rPr>
              <w:t>Capturing</w:t>
            </w:r>
            <w:r>
              <w:rPr>
                <w:rFonts w:ascii="Calibri" w:hAnsi="Calibri"/>
                <w:color w:val="000000"/>
              </w:rPr>
              <w:t xml:space="preserve">: change in distribution of value in production chain </w:t>
            </w:r>
          </w:p>
          <w:p w14:paraId="2A896CD9" w14:textId="77777777" w:rsidR="00C73A1D" w:rsidRDefault="00C73A1D" w:rsidP="00BC17CA">
            <w:pPr>
              <w:rPr>
                <w:rFonts w:ascii="Calibri" w:hAnsi="Calibri"/>
                <w:color w:val="000000"/>
              </w:rPr>
            </w:pPr>
          </w:p>
          <w:p w14:paraId="75218CE2" w14:textId="25880FCA" w:rsidR="00C73A1D" w:rsidRDefault="00C73A1D" w:rsidP="00BC17CA">
            <w:pPr>
              <w:rPr>
                <w:rFonts w:ascii="Calibri" w:hAnsi="Calibri"/>
                <w:color w:val="000000"/>
              </w:rPr>
            </w:pPr>
            <w:r>
              <w:rPr>
                <w:rFonts w:ascii="Calibri" w:hAnsi="Calibri"/>
                <w:b/>
                <w:bCs/>
                <w:color w:val="000000"/>
              </w:rPr>
              <w:t>Creating</w:t>
            </w:r>
            <w:r>
              <w:rPr>
                <w:rFonts w:ascii="Calibri" w:hAnsi="Calibri"/>
                <w:color w:val="000000"/>
              </w:rPr>
              <w:t>: making actual or perceived value fo</w:t>
            </w:r>
            <w:r w:rsidR="00AA2563">
              <w:rPr>
                <w:rFonts w:ascii="Calibri" w:hAnsi="Calibri"/>
                <w:color w:val="000000"/>
              </w:rPr>
              <w:t>r a superior product or service</w:t>
            </w:r>
          </w:p>
          <w:p w14:paraId="52FA624C" w14:textId="77777777" w:rsidR="00C73A1D" w:rsidRDefault="00C73A1D" w:rsidP="005248B7">
            <w:pPr>
              <w:rPr>
                <w:rFonts w:ascii="Calibri" w:hAnsi="Calibri"/>
                <w:color w:val="000000"/>
                <w:bdr w:val="none" w:sz="0" w:space="0" w:color="auto" w:frame="1"/>
              </w:rPr>
            </w:pPr>
          </w:p>
          <w:p w14:paraId="38BD12C6" w14:textId="4ED6B684" w:rsidR="00C73A1D" w:rsidRDefault="00C73A1D" w:rsidP="005248B7">
            <w:pPr>
              <w:rPr>
                <w:rFonts w:ascii="Calibri" w:hAnsi="Calibri"/>
                <w:color w:val="000000"/>
              </w:rPr>
            </w:pPr>
            <w:r>
              <w:rPr>
                <w:rFonts w:ascii="Calibri" w:hAnsi="Calibri"/>
                <w:color w:val="000000"/>
              </w:rPr>
              <w:t>e.g. Simplifying supply chain, lowering costs, marketing unique product, filling market niche, providing a service, bundling products</w:t>
            </w:r>
            <w:r w:rsidR="00EB6E7E">
              <w:rPr>
                <w:rFonts w:ascii="Calibri" w:hAnsi="Calibri"/>
                <w:color w:val="000000"/>
              </w:rPr>
              <w:t>,</w:t>
            </w:r>
            <w:r>
              <w:rPr>
                <w:rFonts w:ascii="Calibri" w:hAnsi="Calibri"/>
                <w:color w:val="000000"/>
              </w:rPr>
              <w:t xml:space="preserve"> etc.</w:t>
            </w:r>
          </w:p>
        </w:tc>
        <w:tc>
          <w:tcPr>
            <w:tcW w:w="2869" w:type="dxa"/>
            <w:shd w:val="clear" w:color="auto" w:fill="auto"/>
          </w:tcPr>
          <w:p w14:paraId="75B0E391" w14:textId="77777777" w:rsidR="00C73A1D" w:rsidRDefault="00C73A1D" w:rsidP="005248B7">
            <w:pPr>
              <w:rPr>
                <w:rFonts w:ascii="Calibri" w:hAnsi="Calibri"/>
                <w:color w:val="000000"/>
              </w:rPr>
            </w:pPr>
            <w:r>
              <w:rPr>
                <w:rFonts w:ascii="Calibri" w:hAnsi="Calibri"/>
                <w:color w:val="000000"/>
              </w:rPr>
              <w:t xml:space="preserve">Value added will be specific to the project context and targeted agricultural endeavors. </w:t>
            </w:r>
          </w:p>
          <w:p w14:paraId="1E172C90" w14:textId="77777777" w:rsidR="00C73A1D" w:rsidRDefault="00C73A1D" w:rsidP="005248B7">
            <w:pPr>
              <w:rPr>
                <w:rFonts w:ascii="Calibri" w:hAnsi="Calibri"/>
                <w:color w:val="000000"/>
              </w:rPr>
            </w:pPr>
          </w:p>
          <w:p w14:paraId="1DF6B817" w14:textId="77777777" w:rsidR="00C73A1D" w:rsidRDefault="00C73A1D" w:rsidP="005248B7">
            <w:pPr>
              <w:rPr>
                <w:rFonts w:ascii="Calibri" w:hAnsi="Calibri"/>
                <w:color w:val="000000"/>
              </w:rPr>
            </w:pPr>
            <w:r>
              <w:rPr>
                <w:rFonts w:ascii="Calibri" w:hAnsi="Calibri"/>
                <w:color w:val="000000"/>
              </w:rPr>
              <w:t>Value added leads to higher value of sales and, depending on input costs, higher profit and income.</w:t>
            </w:r>
          </w:p>
          <w:p w14:paraId="1D011357" w14:textId="77777777" w:rsidR="005A55ED" w:rsidRDefault="005A55ED" w:rsidP="005248B7">
            <w:pPr>
              <w:rPr>
                <w:rFonts w:ascii="Calibri" w:hAnsi="Calibri"/>
                <w:color w:val="000000"/>
              </w:rPr>
            </w:pPr>
          </w:p>
          <w:p w14:paraId="4885F685" w14:textId="5A42A1BB" w:rsidR="005A55ED" w:rsidRDefault="005A55ED" w:rsidP="005248B7">
            <w:pPr>
              <w:rPr>
                <w:rFonts w:ascii="Calibri" w:hAnsi="Calibri"/>
                <w:color w:val="000000"/>
              </w:rPr>
            </w:pPr>
            <w:r>
              <w:rPr>
                <w:rFonts w:ascii="Calibri" w:hAnsi="Calibri"/>
                <w:color w:val="000000"/>
              </w:rPr>
              <w:t>Change in profit or sales price can represent value added</w:t>
            </w:r>
          </w:p>
        </w:tc>
        <w:tc>
          <w:tcPr>
            <w:tcW w:w="2647" w:type="dxa"/>
          </w:tcPr>
          <w:p w14:paraId="785BA8B5" w14:textId="2EA0AF19" w:rsidR="00C73A1D" w:rsidRDefault="00C73A1D" w:rsidP="005248B7">
            <w:pPr>
              <w:pStyle w:val="NoSpacing"/>
            </w:pPr>
          </w:p>
        </w:tc>
        <w:tc>
          <w:tcPr>
            <w:tcW w:w="2647" w:type="dxa"/>
          </w:tcPr>
          <w:p w14:paraId="3304FA66" w14:textId="0BC7502E" w:rsidR="00C73A1D" w:rsidRDefault="009F311F" w:rsidP="005248B7">
            <w:pPr>
              <w:pStyle w:val="NoSpacing"/>
            </w:pPr>
            <w:hyperlink r:id="rId16" w:history="1">
              <w:r w:rsidR="00C73A1D" w:rsidRPr="00CC21E2">
                <w:rPr>
                  <w:rStyle w:val="Hyperlink"/>
                </w:rPr>
                <w:t>http://www.agmrc.org/business_development/getting_prepared/valueadded_agriculture/articles/adding-value/</w:t>
              </w:r>
            </w:hyperlink>
          </w:p>
          <w:p w14:paraId="6106DE1D" w14:textId="77777777" w:rsidR="00C73A1D" w:rsidRDefault="00C73A1D" w:rsidP="005248B7">
            <w:pPr>
              <w:pStyle w:val="NoSpacing"/>
            </w:pPr>
          </w:p>
          <w:p w14:paraId="5F83EE2D" w14:textId="77777777" w:rsidR="00C73A1D" w:rsidRDefault="009F311F" w:rsidP="005248B7">
            <w:pPr>
              <w:pStyle w:val="NoSpacing"/>
            </w:pPr>
            <w:hyperlink r:id="rId17" w:history="1">
              <w:r w:rsidR="00C73A1D" w:rsidRPr="00CC21E2">
                <w:rPr>
                  <w:rStyle w:val="Hyperlink"/>
                </w:rPr>
                <w:t>http://www.agmrc.org/business_development/getting_prepared/valueadded_agriculture/articles/capturing-vs-creating-value/</w:t>
              </w:r>
            </w:hyperlink>
            <w:r w:rsidR="00C73A1D">
              <w:t xml:space="preserve"> </w:t>
            </w:r>
          </w:p>
        </w:tc>
      </w:tr>
      <w:tr w:rsidR="00C73A1D" w14:paraId="425AFDC6" w14:textId="77777777" w:rsidTr="00800AB8">
        <w:tc>
          <w:tcPr>
            <w:tcW w:w="1645" w:type="dxa"/>
            <w:shd w:val="clear" w:color="auto" w:fill="auto"/>
          </w:tcPr>
          <w:p w14:paraId="54C2AE6E" w14:textId="08DC54E8" w:rsidR="00C73A1D" w:rsidRPr="00383B19" w:rsidRDefault="00C73A1D" w:rsidP="005248B7">
            <w:pPr>
              <w:rPr>
                <w:rFonts w:ascii="Calibri" w:hAnsi="Calibri"/>
                <w:b/>
                <w:color w:val="000000"/>
              </w:rPr>
            </w:pPr>
            <w:r w:rsidRPr="00383B19">
              <w:rPr>
                <w:rFonts w:ascii="Calibri" w:hAnsi="Calibri"/>
                <w:b/>
                <w:color w:val="000000"/>
              </w:rPr>
              <w:t>Value of Sales (VS)</w:t>
            </w:r>
          </w:p>
        </w:tc>
        <w:tc>
          <w:tcPr>
            <w:tcW w:w="3872" w:type="dxa"/>
            <w:shd w:val="clear" w:color="auto" w:fill="auto"/>
          </w:tcPr>
          <w:p w14:paraId="3C986F19" w14:textId="421A33A4" w:rsidR="00C73A1D" w:rsidRDefault="00C73A1D" w:rsidP="005248B7">
            <w:pPr>
              <w:rPr>
                <w:rFonts w:ascii="Calibri" w:hAnsi="Calibri"/>
                <w:color w:val="000000"/>
              </w:rPr>
            </w:pPr>
            <w:r>
              <w:rPr>
                <w:rFonts w:ascii="Calibri" w:hAnsi="Calibri"/>
                <w:color w:val="000000"/>
              </w:rPr>
              <w:t>Total money derived from sale of agricultural products.</w:t>
            </w:r>
            <w:r w:rsidR="00614E29">
              <w:rPr>
                <w:rFonts w:ascii="Calibri" w:hAnsi="Calibri"/>
                <w:color w:val="000000"/>
              </w:rPr>
              <w:t xml:space="preserve"> This is a necessary data point for measuring gross margin.</w:t>
            </w:r>
          </w:p>
          <w:p w14:paraId="555E0EEC" w14:textId="77777777" w:rsidR="00C73A1D" w:rsidRDefault="00C73A1D" w:rsidP="005248B7">
            <w:pPr>
              <w:rPr>
                <w:rFonts w:ascii="Calibri" w:hAnsi="Calibri"/>
                <w:color w:val="000000"/>
              </w:rPr>
            </w:pPr>
          </w:p>
          <w:p w14:paraId="4BAAA07B" w14:textId="215B5583" w:rsidR="00C73A1D" w:rsidRDefault="00C73A1D" w:rsidP="00EB6E7E">
            <w:pPr>
              <w:rPr>
                <w:rFonts w:ascii="Calibri" w:hAnsi="Calibri"/>
                <w:color w:val="000000"/>
              </w:rPr>
            </w:pPr>
            <w:r>
              <w:rPr>
                <w:rFonts w:ascii="Calibri" w:hAnsi="Calibri"/>
                <w:color w:val="000000"/>
              </w:rPr>
              <w:t xml:space="preserve">Sales can also be referred to as </w:t>
            </w:r>
            <w:r w:rsidR="00EB6E7E">
              <w:rPr>
                <w:rFonts w:ascii="Calibri" w:hAnsi="Calibri"/>
                <w:color w:val="000000"/>
              </w:rPr>
              <w:t>Income</w:t>
            </w:r>
            <w:r>
              <w:rPr>
                <w:rFonts w:ascii="Calibri" w:hAnsi="Calibri"/>
                <w:color w:val="000000"/>
              </w:rPr>
              <w:t xml:space="preserve"> (from agricultural products).</w:t>
            </w:r>
          </w:p>
        </w:tc>
        <w:tc>
          <w:tcPr>
            <w:tcW w:w="2869" w:type="dxa"/>
            <w:shd w:val="clear" w:color="auto" w:fill="auto"/>
          </w:tcPr>
          <w:p w14:paraId="6BDB6573" w14:textId="61A6E29B" w:rsidR="00C73A1D" w:rsidRDefault="00C73A1D" w:rsidP="005248B7">
            <w:pPr>
              <w:rPr>
                <w:rFonts w:ascii="Calibri" w:hAnsi="Calibri"/>
                <w:color w:val="000000"/>
              </w:rPr>
            </w:pPr>
            <w:r>
              <w:rPr>
                <w:rFonts w:ascii="Calibri" w:hAnsi="Calibri"/>
                <w:color w:val="000000"/>
              </w:rPr>
              <w:t>Measurement depends on whether target population sells at one or more point throughout the year.</w:t>
            </w:r>
          </w:p>
        </w:tc>
        <w:tc>
          <w:tcPr>
            <w:tcW w:w="2647" w:type="dxa"/>
          </w:tcPr>
          <w:p w14:paraId="70B3EFDE" w14:textId="77777777" w:rsidR="00C73A1D" w:rsidRDefault="00C73A1D" w:rsidP="005248B7"/>
        </w:tc>
        <w:tc>
          <w:tcPr>
            <w:tcW w:w="2647" w:type="dxa"/>
          </w:tcPr>
          <w:p w14:paraId="0EDEDDA4" w14:textId="6F642A34" w:rsidR="00C73A1D" w:rsidRDefault="00C73A1D" w:rsidP="005248B7">
            <w:r>
              <w:t>See Gross Margin</w:t>
            </w:r>
          </w:p>
          <w:p w14:paraId="16E987E4" w14:textId="77777777" w:rsidR="00C73A1D" w:rsidRDefault="00C73A1D" w:rsidP="000D4A65"/>
          <w:p w14:paraId="180EE8DB" w14:textId="77777777" w:rsidR="00C73A1D" w:rsidRDefault="009F311F" w:rsidP="000D4A65">
            <w:pPr>
              <w:rPr>
                <w:rStyle w:val="Hyperlink"/>
              </w:rPr>
            </w:pPr>
            <w:hyperlink r:id="rId18" w:history="1">
              <w:r w:rsidR="00C73A1D" w:rsidRPr="00FD53C3">
                <w:rPr>
                  <w:rStyle w:val="Hyperlink"/>
                </w:rPr>
                <w:t>https://agrilinks.org/sites/default/files/resource/files/FTF_Agriculture_Guide_Jan2014.pdf</w:t>
              </w:r>
            </w:hyperlink>
          </w:p>
          <w:p w14:paraId="71F796A4" w14:textId="2F4AEDCD" w:rsidR="00C73A1D" w:rsidRDefault="00C73A1D" w:rsidP="000D4A65">
            <w:r>
              <w:rPr>
                <w:rStyle w:val="Hyperlink"/>
                <w:color w:val="auto"/>
                <w:u w:val="none"/>
              </w:rPr>
              <w:t>Appendix 1 pg. 84</w:t>
            </w:r>
          </w:p>
        </w:tc>
      </w:tr>
      <w:tr w:rsidR="00C73A1D" w14:paraId="636DDB89" w14:textId="77777777" w:rsidTr="00800AB8">
        <w:tc>
          <w:tcPr>
            <w:tcW w:w="1645" w:type="dxa"/>
            <w:shd w:val="clear" w:color="auto" w:fill="auto"/>
          </w:tcPr>
          <w:p w14:paraId="37C679DC" w14:textId="3EEAEB9F" w:rsidR="00C73A1D" w:rsidRPr="00383B19" w:rsidRDefault="00C73A1D" w:rsidP="005248B7">
            <w:pPr>
              <w:rPr>
                <w:rFonts w:ascii="Calibri" w:hAnsi="Calibri"/>
                <w:b/>
                <w:bCs/>
                <w:color w:val="000000"/>
              </w:rPr>
            </w:pPr>
            <w:r w:rsidRPr="00383B19">
              <w:rPr>
                <w:rFonts w:ascii="Calibri" w:hAnsi="Calibri"/>
                <w:b/>
                <w:bCs/>
                <w:color w:val="000000"/>
              </w:rPr>
              <w:t>Yield (Y)</w:t>
            </w:r>
          </w:p>
        </w:tc>
        <w:tc>
          <w:tcPr>
            <w:tcW w:w="3872" w:type="dxa"/>
            <w:shd w:val="clear" w:color="auto" w:fill="auto"/>
          </w:tcPr>
          <w:p w14:paraId="745F70C7" w14:textId="0118BBDC" w:rsidR="00C73A1D" w:rsidRDefault="00C73A1D" w:rsidP="005248B7">
            <w:pPr>
              <w:rPr>
                <w:rFonts w:ascii="Calibri" w:hAnsi="Calibri"/>
                <w:color w:val="000000"/>
              </w:rPr>
            </w:pPr>
            <w:r>
              <w:rPr>
                <w:rFonts w:ascii="Calibri" w:hAnsi="Calibri"/>
                <w:color w:val="000000"/>
              </w:rPr>
              <w:t>Amount of agricultural product produced by target population, divided by unit</w:t>
            </w:r>
            <w:r w:rsidR="00236BBE">
              <w:rPr>
                <w:rFonts w:ascii="Calibri" w:hAnsi="Calibri"/>
                <w:color w:val="000000"/>
              </w:rPr>
              <w:t>s</w:t>
            </w:r>
            <w:r>
              <w:rPr>
                <w:rFonts w:ascii="Calibri" w:hAnsi="Calibri"/>
                <w:color w:val="000000"/>
              </w:rPr>
              <w:t xml:space="preserve"> of production (e.g. ha, animal, etc.). How much each unit produces. </w:t>
            </w:r>
          </w:p>
          <w:p w14:paraId="393CB6AD" w14:textId="77777777" w:rsidR="00C73A1D" w:rsidRDefault="00C73A1D" w:rsidP="005248B7">
            <w:pPr>
              <w:rPr>
                <w:rFonts w:ascii="Calibri" w:hAnsi="Calibri"/>
                <w:color w:val="000000"/>
              </w:rPr>
            </w:pPr>
          </w:p>
          <w:p w14:paraId="543DBA19" w14:textId="2B9453CC" w:rsidR="00C73A1D" w:rsidRDefault="00C73A1D" w:rsidP="005248B7">
            <w:pPr>
              <w:rPr>
                <w:rFonts w:ascii="Calibri" w:hAnsi="Calibri"/>
                <w:color w:val="000000"/>
              </w:rPr>
            </w:pPr>
            <w:r>
              <w:rPr>
                <w:rFonts w:ascii="Calibri" w:hAnsi="Calibri"/>
                <w:color w:val="000000"/>
              </w:rPr>
              <w:t>Y = TP / UP</w:t>
            </w:r>
          </w:p>
        </w:tc>
        <w:tc>
          <w:tcPr>
            <w:tcW w:w="2869" w:type="dxa"/>
            <w:shd w:val="clear" w:color="auto" w:fill="auto"/>
          </w:tcPr>
          <w:p w14:paraId="5F192E5E" w14:textId="21725274" w:rsidR="00C73A1D" w:rsidRDefault="00D71E3A" w:rsidP="005248B7">
            <w:pPr>
              <w:rPr>
                <w:rFonts w:ascii="Calibri" w:hAnsi="Calibri"/>
                <w:color w:val="000000"/>
              </w:rPr>
            </w:pPr>
            <w:r>
              <w:rPr>
                <w:rFonts w:ascii="Calibri" w:hAnsi="Calibri"/>
                <w:color w:val="000000"/>
              </w:rPr>
              <w:t xml:space="preserve">If units of production are intercropped, the project must determine how to measure yield (and gross margin). </w:t>
            </w:r>
          </w:p>
        </w:tc>
        <w:tc>
          <w:tcPr>
            <w:tcW w:w="2647" w:type="dxa"/>
          </w:tcPr>
          <w:p w14:paraId="7E831B4D" w14:textId="19057191" w:rsidR="00C73A1D" w:rsidRDefault="00C73A1D" w:rsidP="005248B7"/>
        </w:tc>
        <w:tc>
          <w:tcPr>
            <w:tcW w:w="2647" w:type="dxa"/>
          </w:tcPr>
          <w:p w14:paraId="08028325" w14:textId="420615E7" w:rsidR="00C73A1D" w:rsidRDefault="00C73A1D" w:rsidP="005248B7"/>
        </w:tc>
      </w:tr>
      <w:tr w:rsidR="00800AB8" w14:paraId="17615253" w14:textId="77777777" w:rsidTr="00800AB8">
        <w:tc>
          <w:tcPr>
            <w:tcW w:w="1645" w:type="dxa"/>
            <w:shd w:val="clear" w:color="auto" w:fill="auto"/>
          </w:tcPr>
          <w:p w14:paraId="68E4AE7E" w14:textId="118BA9BE" w:rsidR="00800AB8" w:rsidRPr="00383B19" w:rsidRDefault="00800AB8" w:rsidP="005248B7">
            <w:pPr>
              <w:rPr>
                <w:rFonts w:ascii="Calibri" w:hAnsi="Calibri"/>
                <w:b/>
                <w:bCs/>
                <w:color w:val="000000"/>
              </w:rPr>
            </w:pPr>
            <w:r w:rsidRPr="00CE0C20">
              <w:rPr>
                <w:b/>
                <w:bCs/>
              </w:rPr>
              <w:t>Women’s Empowerment in Agriculture Index (WEAI)</w:t>
            </w:r>
          </w:p>
        </w:tc>
        <w:tc>
          <w:tcPr>
            <w:tcW w:w="3872" w:type="dxa"/>
            <w:shd w:val="clear" w:color="auto" w:fill="auto"/>
          </w:tcPr>
          <w:p w14:paraId="13E38AB2" w14:textId="47EC3444" w:rsidR="00800AB8" w:rsidRDefault="00800AB8" w:rsidP="00800AB8">
            <w:r>
              <w:rPr>
                <w:rFonts w:ascii="Calibri" w:hAnsi="Calibri"/>
                <w:color w:val="000000"/>
              </w:rPr>
              <w:t xml:space="preserve">The WEAI is </w:t>
            </w:r>
            <w:r>
              <w:t>a combination of two sub-indexes. One measure</w:t>
            </w:r>
            <w:r w:rsidR="00EB6E7E">
              <w:t>s</w:t>
            </w:r>
            <w:r>
              <w:t xml:space="preserve"> the five domains of empowerment for women (5DE), the other measures gender parity in empowerment within the household (GPI). The </w:t>
            </w:r>
            <w:r w:rsidRPr="003C2620">
              <w:t>WEIA</w:t>
            </w:r>
            <w:r>
              <w:t xml:space="preserve"> combines these two sub-indexes into one score which shows the degree to which women are empowered in their households and communities and the degree of inequality between men and women within the household. </w:t>
            </w:r>
          </w:p>
          <w:p w14:paraId="1B4C8FDB" w14:textId="77777777" w:rsidR="00672A5D" w:rsidRDefault="00672A5D" w:rsidP="00800AB8"/>
          <w:p w14:paraId="280703BF" w14:textId="1F3A5DD7" w:rsidR="00672A5D" w:rsidRDefault="00672A5D" w:rsidP="00800AB8">
            <w:pPr>
              <w:rPr>
                <w:rFonts w:ascii="Calibri" w:hAnsi="Calibri"/>
                <w:color w:val="000000"/>
              </w:rPr>
            </w:pPr>
            <w:r>
              <w:rPr>
                <w:rFonts w:ascii="Calibri" w:hAnsi="Calibri"/>
                <w:b/>
                <w:color w:val="000000"/>
              </w:rPr>
              <w:t xml:space="preserve">NOTE: As of 2015, the WEAI has not been adapted for project-level monitoring. It remains </w:t>
            </w:r>
            <w:r w:rsidR="00EB6E7E">
              <w:rPr>
                <w:rFonts w:ascii="Calibri" w:hAnsi="Calibri"/>
                <w:b/>
                <w:color w:val="000000"/>
              </w:rPr>
              <w:t xml:space="preserve">in a </w:t>
            </w:r>
            <w:r w:rsidR="002F29FE">
              <w:rPr>
                <w:rFonts w:ascii="Calibri" w:hAnsi="Calibri"/>
                <w:b/>
                <w:color w:val="000000"/>
              </w:rPr>
              <w:t xml:space="preserve"> </w:t>
            </w:r>
            <w:r>
              <w:rPr>
                <w:rFonts w:ascii="Calibri" w:hAnsi="Calibri"/>
                <w:b/>
                <w:color w:val="000000"/>
              </w:rPr>
              <w:t>population-based survey that provides nationally-representative information about gender inequalities. The survey is not well-suited for projects and it is not recommended that projects try to use the WEAI at this time. There is an A-WEAI which is abbreviated and a project-level WEAI (Pro-WEAI) that is under development. You should be familiar with the domains of the WEAI and consider what indicators you can use that relate to those different domains.</w:t>
            </w:r>
          </w:p>
        </w:tc>
        <w:tc>
          <w:tcPr>
            <w:tcW w:w="2869" w:type="dxa"/>
            <w:shd w:val="clear" w:color="auto" w:fill="auto"/>
          </w:tcPr>
          <w:p w14:paraId="097469D0" w14:textId="77777777" w:rsidR="00800AB8" w:rsidRDefault="00800AB8" w:rsidP="005248B7">
            <w:r>
              <w:t xml:space="preserve">The 5DE index is comprised of ten indicators, and the GPI is a relative inequality measure that reflects the inequality in 5DE profiles between the primary adult male and female in each household. </w:t>
            </w:r>
          </w:p>
          <w:p w14:paraId="347C28DB" w14:textId="77777777" w:rsidR="00800AB8" w:rsidRDefault="00800AB8" w:rsidP="005248B7"/>
          <w:p w14:paraId="30278669" w14:textId="30D742D7" w:rsidR="00800AB8" w:rsidRDefault="00800AB8" w:rsidP="005248B7">
            <w:pPr>
              <w:rPr>
                <w:rFonts w:ascii="Calibri" w:hAnsi="Calibri"/>
                <w:color w:val="000000"/>
              </w:rPr>
            </w:pPr>
            <w:r>
              <w:rPr>
                <w:rFonts w:ascii="Calibri" w:hAnsi="Calibri"/>
                <w:color w:val="000000"/>
              </w:rPr>
              <w:t xml:space="preserve">The WEAI is also relevant to Food Security and </w:t>
            </w:r>
            <w:r w:rsidR="009D25D4">
              <w:rPr>
                <w:rFonts w:ascii="Calibri" w:hAnsi="Calibri"/>
                <w:color w:val="000000"/>
              </w:rPr>
              <w:t>Financing for Rural Producers for women.</w:t>
            </w:r>
          </w:p>
        </w:tc>
        <w:tc>
          <w:tcPr>
            <w:tcW w:w="2647" w:type="dxa"/>
          </w:tcPr>
          <w:p w14:paraId="775C43AE" w14:textId="77777777" w:rsidR="00800AB8" w:rsidRDefault="00800AB8" w:rsidP="005248B7"/>
        </w:tc>
        <w:tc>
          <w:tcPr>
            <w:tcW w:w="2647" w:type="dxa"/>
          </w:tcPr>
          <w:p w14:paraId="25DEA95C" w14:textId="77777777" w:rsidR="00800AB8" w:rsidRDefault="009F311F" w:rsidP="00800AB8">
            <w:pPr>
              <w:pStyle w:val="NoSpacing"/>
            </w:pPr>
            <w:hyperlink r:id="rId19" w:history="1">
              <w:r w:rsidR="00800AB8" w:rsidRPr="00DD219D">
                <w:rPr>
                  <w:rStyle w:val="Hyperlink"/>
                </w:rPr>
                <w:t>http://www.ifpri.org/publication/womens-empowerment-agriculture-index</w:t>
              </w:r>
            </w:hyperlink>
          </w:p>
          <w:p w14:paraId="6A13E3EB" w14:textId="77777777" w:rsidR="00800AB8" w:rsidRDefault="00800AB8" w:rsidP="00800AB8">
            <w:pPr>
              <w:pStyle w:val="NoSpacing"/>
            </w:pPr>
          </w:p>
          <w:p w14:paraId="181BA2BD" w14:textId="77777777" w:rsidR="00800AB8" w:rsidRDefault="009F311F" w:rsidP="00800AB8">
            <w:pPr>
              <w:pStyle w:val="NoSpacing"/>
            </w:pPr>
            <w:hyperlink r:id="rId20" w:history="1">
              <w:r w:rsidR="00800AB8" w:rsidRPr="00DD219D">
                <w:rPr>
                  <w:rStyle w:val="Hyperlink"/>
                </w:rPr>
                <w:t>https://www.ifpri.org/sites/default/files/Basic%20Page/weai_instructionalguide_1.pdf</w:t>
              </w:r>
            </w:hyperlink>
          </w:p>
          <w:p w14:paraId="773EE381" w14:textId="77777777" w:rsidR="00800AB8" w:rsidRDefault="00800AB8" w:rsidP="00800AB8">
            <w:pPr>
              <w:pStyle w:val="NoSpacing"/>
            </w:pPr>
          </w:p>
          <w:p w14:paraId="299D6CBD" w14:textId="42AACA91" w:rsidR="00800AB8" w:rsidRDefault="009F311F" w:rsidP="00800AB8">
            <w:hyperlink r:id="rId21" w:history="1">
              <w:r w:rsidR="00800AB8" w:rsidRPr="00DD219D">
                <w:rPr>
                  <w:rStyle w:val="Hyperlink"/>
                </w:rPr>
                <w:t>http://www.ifpri.org/key-weai-publications</w:t>
              </w:r>
            </w:hyperlink>
          </w:p>
        </w:tc>
      </w:tr>
    </w:tbl>
    <w:p w14:paraId="43F34175" w14:textId="7875787F" w:rsidR="00AA55B9" w:rsidRDefault="00AA55B9" w:rsidP="00A06E75">
      <w:pPr>
        <w:pStyle w:val="NoSpacing"/>
      </w:pPr>
    </w:p>
    <w:p w14:paraId="4D9CA1D6" w14:textId="2A121B50" w:rsidR="00B82799" w:rsidRDefault="00B82799">
      <w:r>
        <w:br w:type="page"/>
      </w:r>
    </w:p>
    <w:p w14:paraId="709D7BA9" w14:textId="77777777" w:rsidR="00D9613C" w:rsidRPr="00636292" w:rsidRDefault="00D9613C" w:rsidP="00D9613C">
      <w:pPr>
        <w:pStyle w:val="NoSpacing"/>
        <w:rPr>
          <w:b/>
          <w:bCs/>
          <w:sz w:val="32"/>
          <w:szCs w:val="32"/>
        </w:rPr>
      </w:pPr>
      <w:bookmarkStart w:id="1" w:name="Glossary_for_Food_Security"/>
      <w:bookmarkStart w:id="2" w:name="Glossary_for_Financing_for_Rural_Produce"/>
      <w:r w:rsidRPr="00636292">
        <w:rPr>
          <w:b/>
          <w:bCs/>
          <w:sz w:val="32"/>
          <w:szCs w:val="32"/>
        </w:rPr>
        <w:t>Glossary for Food Security</w:t>
      </w:r>
      <w:bookmarkEnd w:id="1"/>
    </w:p>
    <w:p w14:paraId="649E073E" w14:textId="77777777" w:rsidR="00D9613C" w:rsidRDefault="00D9613C" w:rsidP="00D9613C">
      <w:pPr>
        <w:pStyle w:val="NoSpacing"/>
      </w:pPr>
      <w:r>
        <w:t>* Nutrition and health terms and measurements.</w:t>
      </w:r>
    </w:p>
    <w:tbl>
      <w:tblPr>
        <w:tblStyle w:val="TableGrid"/>
        <w:tblW w:w="13680" w:type="dxa"/>
        <w:tblInd w:w="60" w:type="dxa"/>
        <w:tblLayout w:type="fixed"/>
        <w:tblLook w:val="04A0" w:firstRow="1" w:lastRow="0" w:firstColumn="1" w:lastColumn="0" w:noHBand="0" w:noVBand="1"/>
      </w:tblPr>
      <w:tblGrid>
        <w:gridCol w:w="1495"/>
        <w:gridCol w:w="4022"/>
        <w:gridCol w:w="2869"/>
        <w:gridCol w:w="2647"/>
        <w:gridCol w:w="2647"/>
      </w:tblGrid>
      <w:tr w:rsidR="00D9613C" w14:paraId="3E4765BF" w14:textId="77777777" w:rsidTr="001A06C1">
        <w:tc>
          <w:tcPr>
            <w:tcW w:w="1495" w:type="dxa"/>
            <w:shd w:val="clear" w:color="auto" w:fill="A6CE39"/>
            <w:vAlign w:val="center"/>
          </w:tcPr>
          <w:p w14:paraId="1D88B150" w14:textId="77777777" w:rsidR="00D9613C" w:rsidRPr="00383B19" w:rsidRDefault="00D9613C" w:rsidP="00A97F83">
            <w:pPr>
              <w:jc w:val="center"/>
              <w:rPr>
                <w:b/>
                <w:sz w:val="24"/>
              </w:rPr>
            </w:pPr>
            <w:r w:rsidRPr="00383B19">
              <w:rPr>
                <w:b/>
                <w:sz w:val="24"/>
              </w:rPr>
              <w:t>Standard Term</w:t>
            </w:r>
          </w:p>
        </w:tc>
        <w:tc>
          <w:tcPr>
            <w:tcW w:w="4022" w:type="dxa"/>
            <w:shd w:val="clear" w:color="auto" w:fill="A6CE39"/>
            <w:vAlign w:val="center"/>
          </w:tcPr>
          <w:p w14:paraId="20071119" w14:textId="77777777" w:rsidR="00D9613C" w:rsidRPr="00383B19" w:rsidRDefault="00D9613C" w:rsidP="00A97F83">
            <w:pPr>
              <w:jc w:val="center"/>
              <w:rPr>
                <w:b/>
                <w:sz w:val="24"/>
              </w:rPr>
            </w:pPr>
            <w:r w:rsidRPr="00383B19">
              <w:rPr>
                <w:b/>
                <w:sz w:val="24"/>
              </w:rPr>
              <w:t>Definition</w:t>
            </w:r>
          </w:p>
        </w:tc>
        <w:tc>
          <w:tcPr>
            <w:tcW w:w="2869" w:type="dxa"/>
            <w:shd w:val="clear" w:color="auto" w:fill="A6CE39"/>
            <w:vAlign w:val="center"/>
          </w:tcPr>
          <w:p w14:paraId="4A27A70D" w14:textId="77777777" w:rsidR="00D9613C" w:rsidRPr="00383B19" w:rsidRDefault="00D9613C" w:rsidP="00A97F83">
            <w:pPr>
              <w:jc w:val="center"/>
              <w:rPr>
                <w:b/>
                <w:sz w:val="24"/>
              </w:rPr>
            </w:pPr>
            <w:r w:rsidRPr="00383B19">
              <w:rPr>
                <w:b/>
                <w:sz w:val="24"/>
              </w:rPr>
              <w:t>Methodological Consideration</w:t>
            </w:r>
            <w:r>
              <w:rPr>
                <w:b/>
                <w:sz w:val="24"/>
              </w:rPr>
              <w:t>s</w:t>
            </w:r>
          </w:p>
        </w:tc>
        <w:tc>
          <w:tcPr>
            <w:tcW w:w="2647" w:type="dxa"/>
            <w:shd w:val="clear" w:color="auto" w:fill="A6CE39"/>
          </w:tcPr>
          <w:p w14:paraId="6E4075B0" w14:textId="77777777" w:rsidR="00D9613C" w:rsidRPr="00383B19" w:rsidRDefault="00D9613C" w:rsidP="00A97F83">
            <w:pPr>
              <w:jc w:val="center"/>
              <w:rPr>
                <w:b/>
                <w:sz w:val="24"/>
              </w:rPr>
            </w:pPr>
            <w:r>
              <w:rPr>
                <w:b/>
                <w:sz w:val="24"/>
              </w:rPr>
              <w:t>Example Indicator</w:t>
            </w:r>
          </w:p>
        </w:tc>
        <w:tc>
          <w:tcPr>
            <w:tcW w:w="2647" w:type="dxa"/>
            <w:shd w:val="clear" w:color="auto" w:fill="A6CE39"/>
            <w:vAlign w:val="center"/>
          </w:tcPr>
          <w:p w14:paraId="39EFC438" w14:textId="77777777" w:rsidR="00D9613C" w:rsidRPr="00383B19" w:rsidRDefault="00D9613C" w:rsidP="00A97F83">
            <w:pPr>
              <w:jc w:val="center"/>
              <w:rPr>
                <w:b/>
                <w:sz w:val="24"/>
              </w:rPr>
            </w:pPr>
            <w:r w:rsidRPr="00383B19">
              <w:rPr>
                <w:b/>
                <w:sz w:val="24"/>
              </w:rPr>
              <w:t>External Guidance</w:t>
            </w:r>
          </w:p>
        </w:tc>
      </w:tr>
      <w:tr w:rsidR="00B879A2" w14:paraId="0A65BCD8" w14:textId="77777777" w:rsidTr="001A06C1">
        <w:tc>
          <w:tcPr>
            <w:tcW w:w="1495" w:type="dxa"/>
            <w:shd w:val="clear" w:color="auto" w:fill="auto"/>
          </w:tcPr>
          <w:p w14:paraId="507FFF35" w14:textId="77777777" w:rsidR="00B879A2" w:rsidRPr="005F7FD8" w:rsidRDefault="00B879A2" w:rsidP="00A97F83">
            <w:pPr>
              <w:rPr>
                <w:rFonts w:ascii="Calibri" w:hAnsi="Calibri"/>
                <w:b/>
                <w:bCs/>
                <w:color w:val="000000"/>
              </w:rPr>
            </w:pPr>
            <w:r>
              <w:rPr>
                <w:rFonts w:ascii="Calibri" w:hAnsi="Calibri"/>
                <w:b/>
                <w:bCs/>
                <w:color w:val="000000"/>
              </w:rPr>
              <w:t>Anemia</w:t>
            </w:r>
          </w:p>
        </w:tc>
        <w:tc>
          <w:tcPr>
            <w:tcW w:w="4022" w:type="dxa"/>
            <w:shd w:val="clear" w:color="auto" w:fill="auto"/>
          </w:tcPr>
          <w:p w14:paraId="125D7C30" w14:textId="4B9DFEF3" w:rsidR="00B879A2" w:rsidRPr="0089115E" w:rsidRDefault="00B879A2" w:rsidP="00A97F83">
            <w:pPr>
              <w:rPr>
                <w:i/>
                <w:iCs/>
              </w:rPr>
            </w:pPr>
            <w:r>
              <w:rPr>
                <w:i/>
                <w:iCs/>
              </w:rPr>
              <w:t xml:space="preserve">Anemia is a common indicator </w:t>
            </w:r>
            <w:r w:rsidR="002F29FE">
              <w:rPr>
                <w:i/>
                <w:iCs/>
              </w:rPr>
              <w:t>of</w:t>
            </w:r>
            <w:r>
              <w:rPr>
                <w:i/>
                <w:iCs/>
              </w:rPr>
              <w:t xml:space="preserve"> food security and health because it gives an indication of micronutrient sufficiency for iron. </w:t>
            </w:r>
            <w:r w:rsidR="0089115E">
              <w:rPr>
                <w:i/>
                <w:iCs/>
              </w:rPr>
              <w:t xml:space="preserve">This indicator is typically measured for children and women of reproductive age. </w:t>
            </w:r>
            <w:r>
              <w:rPr>
                <w:i/>
                <w:iCs/>
              </w:rPr>
              <w:t>However, this indicator is not one that will be common for LWR programming unless required by a donor.</w:t>
            </w:r>
          </w:p>
        </w:tc>
        <w:tc>
          <w:tcPr>
            <w:tcW w:w="2869" w:type="dxa"/>
            <w:shd w:val="clear" w:color="auto" w:fill="auto"/>
          </w:tcPr>
          <w:p w14:paraId="2771F782" w14:textId="257918B9" w:rsidR="00B879A2" w:rsidRPr="00B220BD" w:rsidRDefault="00B879A2" w:rsidP="002F29FE">
            <w:pPr>
              <w:rPr>
                <w:i/>
                <w:iCs/>
              </w:rPr>
            </w:pPr>
            <w:r w:rsidRPr="00B220BD">
              <w:rPr>
                <w:i/>
                <w:iCs/>
              </w:rPr>
              <w:t>Anemia is measured by hemoglobin concentration in the blood. This measurement is not one that LWR has the capacity to measure and thus should not be included unless required by a donor</w:t>
            </w:r>
            <w:r w:rsidR="002F29FE">
              <w:rPr>
                <w:i/>
                <w:iCs/>
              </w:rPr>
              <w:t xml:space="preserve"> and measured</w:t>
            </w:r>
            <w:r w:rsidRPr="00B220BD">
              <w:rPr>
                <w:i/>
                <w:iCs/>
              </w:rPr>
              <w:t xml:space="preserve"> in partnership with a properly equipped partner organization. </w:t>
            </w:r>
          </w:p>
        </w:tc>
        <w:tc>
          <w:tcPr>
            <w:tcW w:w="2647" w:type="dxa"/>
          </w:tcPr>
          <w:p w14:paraId="5A31074C" w14:textId="77777777" w:rsidR="00B879A2" w:rsidRDefault="00B879A2" w:rsidP="00A97F83">
            <w:pPr>
              <w:pStyle w:val="NoSpacing"/>
            </w:pPr>
            <w:r>
              <w:t>Prevalence of anemia among pregnant women</w:t>
            </w:r>
          </w:p>
          <w:p w14:paraId="25F1DCFB" w14:textId="77777777" w:rsidR="00B879A2" w:rsidRDefault="00B879A2" w:rsidP="00A97F83">
            <w:pPr>
              <w:pStyle w:val="NoSpacing"/>
            </w:pPr>
          </w:p>
          <w:p w14:paraId="4AB75203" w14:textId="77777777" w:rsidR="00B879A2" w:rsidRPr="005F7FD8" w:rsidRDefault="00B879A2" w:rsidP="00A97F83">
            <w:pPr>
              <w:pStyle w:val="NoSpacing"/>
            </w:pPr>
            <w:r>
              <w:t>Prevalence of anemia among children under 5 years of age</w:t>
            </w:r>
          </w:p>
        </w:tc>
        <w:tc>
          <w:tcPr>
            <w:tcW w:w="2647" w:type="dxa"/>
          </w:tcPr>
          <w:p w14:paraId="75D22C35" w14:textId="77777777" w:rsidR="00B879A2" w:rsidRDefault="009F311F" w:rsidP="00A97F83">
            <w:pPr>
              <w:pStyle w:val="NoSpacing"/>
            </w:pPr>
            <w:hyperlink r:id="rId22" w:history="1">
              <w:r w:rsidR="00B879A2" w:rsidRPr="00620F5B">
                <w:rPr>
                  <w:rStyle w:val="Hyperlink"/>
                </w:rPr>
                <w:t>http://feedthefuture.gov/sites/default/files/resource/files/ftf_handbook_indicators_october2014.pdf</w:t>
              </w:r>
            </w:hyperlink>
            <w:r w:rsidR="00B879A2">
              <w:t xml:space="preserve"> </w:t>
            </w:r>
          </w:p>
          <w:p w14:paraId="1AF6D568" w14:textId="77777777" w:rsidR="00B879A2" w:rsidRPr="005F7FD8" w:rsidRDefault="00B879A2" w:rsidP="00A97F83">
            <w:pPr>
              <w:pStyle w:val="NoSpacing"/>
            </w:pPr>
            <w:r>
              <w:t>pg. 23, 57</w:t>
            </w:r>
          </w:p>
        </w:tc>
      </w:tr>
      <w:tr w:rsidR="00B879A2" w14:paraId="15C6BF34" w14:textId="77777777" w:rsidTr="001A06C1">
        <w:tc>
          <w:tcPr>
            <w:tcW w:w="1495" w:type="dxa"/>
            <w:shd w:val="clear" w:color="auto" w:fill="auto"/>
          </w:tcPr>
          <w:p w14:paraId="7C0A5792" w14:textId="77777777" w:rsidR="00B879A2" w:rsidRPr="005F7FD8" w:rsidRDefault="00B879A2" w:rsidP="00A97F83">
            <w:pPr>
              <w:rPr>
                <w:rFonts w:ascii="Calibri" w:hAnsi="Calibri"/>
                <w:b/>
                <w:color w:val="000000"/>
              </w:rPr>
            </w:pPr>
            <w:r>
              <w:rPr>
                <w:rFonts w:ascii="Calibri" w:hAnsi="Calibri"/>
                <w:b/>
                <w:bCs/>
                <w:color w:val="000000"/>
              </w:rPr>
              <w:t>Food price index</w:t>
            </w:r>
          </w:p>
        </w:tc>
        <w:tc>
          <w:tcPr>
            <w:tcW w:w="4022" w:type="dxa"/>
            <w:shd w:val="clear" w:color="auto" w:fill="auto"/>
          </w:tcPr>
          <w:p w14:paraId="33CE8994" w14:textId="586EA791" w:rsidR="00B879A2" w:rsidRPr="0029325F" w:rsidRDefault="00B879A2" w:rsidP="0029325F">
            <w:pPr>
              <w:rPr>
                <w:rFonts w:ascii="Calibri" w:hAnsi="Calibri"/>
                <w:b/>
                <w:bCs/>
                <w:color w:val="000000"/>
              </w:rPr>
            </w:pPr>
            <w:r>
              <w:rPr>
                <w:rFonts w:ascii="Calibri" w:hAnsi="Calibri"/>
                <w:color w:val="000000"/>
              </w:rPr>
              <w:t>The food price index is an F</w:t>
            </w:r>
            <w:r w:rsidR="009F311F">
              <w:rPr>
                <w:rFonts w:ascii="Calibri" w:hAnsi="Calibri"/>
                <w:color w:val="000000"/>
              </w:rPr>
              <w:t xml:space="preserve">ood and </w:t>
            </w:r>
            <w:r>
              <w:rPr>
                <w:rFonts w:ascii="Calibri" w:hAnsi="Calibri"/>
                <w:color w:val="000000"/>
              </w:rPr>
              <w:t>A</w:t>
            </w:r>
            <w:r w:rsidR="009F311F">
              <w:rPr>
                <w:rFonts w:ascii="Calibri" w:hAnsi="Calibri"/>
                <w:color w:val="000000"/>
              </w:rPr>
              <w:t xml:space="preserve">griculture </w:t>
            </w:r>
            <w:r>
              <w:rPr>
                <w:rFonts w:ascii="Calibri" w:hAnsi="Calibri"/>
                <w:color w:val="000000"/>
              </w:rPr>
              <w:t>O</w:t>
            </w:r>
            <w:r w:rsidR="009F311F">
              <w:rPr>
                <w:rFonts w:ascii="Calibri" w:hAnsi="Calibri"/>
                <w:color w:val="000000"/>
              </w:rPr>
              <w:t>rganization</w:t>
            </w:r>
            <w:r>
              <w:rPr>
                <w:rFonts w:ascii="Calibri" w:hAnsi="Calibri"/>
                <w:color w:val="000000"/>
              </w:rPr>
              <w:t xml:space="preserve"> measurement which averages the global monthly food prices for </w:t>
            </w:r>
            <w:r w:rsidR="002F29FE">
              <w:rPr>
                <w:rFonts w:ascii="Calibri" w:hAnsi="Calibri"/>
                <w:color w:val="000000"/>
              </w:rPr>
              <w:t>five</w:t>
            </w:r>
            <w:r>
              <w:rPr>
                <w:rFonts w:ascii="Calibri" w:hAnsi="Calibri"/>
                <w:color w:val="000000"/>
              </w:rPr>
              <w:t xml:space="preserve"> food groups. This index can give a general comparative idea of food purchasing access. However, actual access to purchasing food encompasses far more contextual factors and considerations than the average global price.</w:t>
            </w:r>
          </w:p>
        </w:tc>
        <w:tc>
          <w:tcPr>
            <w:tcW w:w="2869" w:type="dxa"/>
            <w:shd w:val="clear" w:color="auto" w:fill="auto"/>
          </w:tcPr>
          <w:p w14:paraId="1580D141" w14:textId="524D3731" w:rsidR="00B879A2" w:rsidRPr="005F7FD8" w:rsidRDefault="00B879A2" w:rsidP="002F29FE">
            <w:pPr>
              <w:rPr>
                <w:rFonts w:ascii="Calibri" w:hAnsi="Calibri"/>
                <w:color w:val="000000"/>
              </w:rPr>
            </w:pPr>
            <w:r>
              <w:rPr>
                <w:rFonts w:ascii="Calibri" w:hAnsi="Calibri"/>
                <w:color w:val="000000"/>
              </w:rPr>
              <w:t xml:space="preserve">The </w:t>
            </w:r>
            <w:r w:rsidR="002F29FE">
              <w:rPr>
                <w:rFonts w:ascii="Calibri" w:hAnsi="Calibri"/>
                <w:color w:val="000000"/>
              </w:rPr>
              <w:t>five</w:t>
            </w:r>
            <w:r>
              <w:rPr>
                <w:rFonts w:ascii="Calibri" w:hAnsi="Calibri"/>
                <w:color w:val="000000"/>
              </w:rPr>
              <w:t xml:space="preserve"> food group indices averaged into the food price index are: </w:t>
            </w:r>
            <w:r w:rsidRPr="00673EE1">
              <w:rPr>
                <w:rFonts w:ascii="Calibri" w:hAnsi="Calibri"/>
                <w:color w:val="000000"/>
              </w:rPr>
              <w:t>cereals, vegetable oil, dairy, meat and sugar.</w:t>
            </w:r>
          </w:p>
        </w:tc>
        <w:tc>
          <w:tcPr>
            <w:tcW w:w="2647" w:type="dxa"/>
          </w:tcPr>
          <w:p w14:paraId="09E85FF7" w14:textId="77777777" w:rsidR="00B879A2" w:rsidRPr="005F7FD8" w:rsidRDefault="00B879A2" w:rsidP="00A97F83"/>
        </w:tc>
        <w:tc>
          <w:tcPr>
            <w:tcW w:w="2647" w:type="dxa"/>
          </w:tcPr>
          <w:p w14:paraId="32B646CC" w14:textId="77777777" w:rsidR="00B879A2" w:rsidRPr="005F7FD8" w:rsidRDefault="009F311F" w:rsidP="00A97F83">
            <w:hyperlink r:id="rId23" w:history="1">
              <w:r w:rsidR="00B879A2" w:rsidRPr="00620F5B">
                <w:rPr>
                  <w:rStyle w:val="Hyperlink"/>
                </w:rPr>
                <w:t>http://www.fao.org/worldfoodsituation/foodpricesindex/en/</w:t>
              </w:r>
            </w:hyperlink>
            <w:r w:rsidR="00B879A2">
              <w:t xml:space="preserve"> </w:t>
            </w:r>
          </w:p>
        </w:tc>
      </w:tr>
      <w:tr w:rsidR="00B879A2" w14:paraId="20ED686D" w14:textId="77777777" w:rsidTr="001A06C1">
        <w:tc>
          <w:tcPr>
            <w:tcW w:w="1495" w:type="dxa"/>
            <w:shd w:val="clear" w:color="auto" w:fill="auto"/>
          </w:tcPr>
          <w:p w14:paraId="04A1DF1F" w14:textId="183DB649" w:rsidR="00B879A2" w:rsidRPr="005F7FD8" w:rsidRDefault="00B879A2" w:rsidP="00A97F83">
            <w:pPr>
              <w:rPr>
                <w:rFonts w:ascii="Calibri" w:hAnsi="Calibri"/>
                <w:b/>
                <w:bCs/>
                <w:color w:val="000000"/>
              </w:rPr>
            </w:pPr>
            <w:r>
              <w:rPr>
                <w:rFonts w:ascii="Calibri" w:hAnsi="Calibri"/>
                <w:b/>
                <w:bCs/>
                <w:color w:val="000000"/>
              </w:rPr>
              <w:t>F</w:t>
            </w:r>
            <w:r w:rsidR="0070739C">
              <w:rPr>
                <w:rFonts w:ascii="Calibri" w:hAnsi="Calibri"/>
                <w:b/>
                <w:bCs/>
                <w:color w:val="000000"/>
              </w:rPr>
              <w:t>ood Security</w:t>
            </w:r>
          </w:p>
        </w:tc>
        <w:tc>
          <w:tcPr>
            <w:tcW w:w="4022" w:type="dxa"/>
            <w:shd w:val="clear" w:color="auto" w:fill="auto"/>
          </w:tcPr>
          <w:p w14:paraId="2AF0AC5B" w14:textId="651D1B5A" w:rsidR="00B879A2" w:rsidRPr="005F7FD8" w:rsidRDefault="0070739C" w:rsidP="0070739C">
            <w:pPr>
              <w:rPr>
                <w:rFonts w:ascii="Calibri" w:hAnsi="Calibri"/>
                <w:color w:val="000000"/>
              </w:rPr>
            </w:pPr>
            <w:r>
              <w:rPr>
                <w:rFonts w:ascii="Calibri" w:hAnsi="Calibri"/>
                <w:color w:val="000000"/>
              </w:rPr>
              <w:t>LWR adopts the World Health Organization</w:t>
            </w:r>
            <w:r w:rsidR="00263767">
              <w:rPr>
                <w:rFonts w:ascii="Calibri" w:hAnsi="Calibri"/>
                <w:color w:val="000000"/>
              </w:rPr>
              <w:t>’s</w:t>
            </w:r>
            <w:r w:rsidR="002F29FE">
              <w:rPr>
                <w:rFonts w:ascii="Calibri" w:hAnsi="Calibri"/>
                <w:color w:val="000000"/>
              </w:rPr>
              <w:t xml:space="preserve"> (WHO)</w:t>
            </w:r>
            <w:r>
              <w:rPr>
                <w:rFonts w:ascii="Calibri" w:hAnsi="Calibri"/>
                <w:color w:val="000000"/>
              </w:rPr>
              <w:t xml:space="preserve"> definition of food security: “a situation that exists when all people, at all times, have physical, social and economic access to sufficient, safe and nutritious food that meets their dietary needs and food preferences for an active and healthy life.” </w:t>
            </w:r>
          </w:p>
        </w:tc>
        <w:tc>
          <w:tcPr>
            <w:tcW w:w="2869" w:type="dxa"/>
            <w:shd w:val="clear" w:color="auto" w:fill="auto"/>
          </w:tcPr>
          <w:p w14:paraId="3DFFFD58" w14:textId="1CB9C1B2" w:rsidR="00B879A2" w:rsidRPr="0070739C" w:rsidRDefault="0047103B" w:rsidP="0070739C">
            <w:pPr>
              <w:rPr>
                <w:rFonts w:ascii="Calibri" w:hAnsi="Calibri"/>
                <w:color w:val="000000"/>
              </w:rPr>
            </w:pPr>
            <w:r>
              <w:rPr>
                <w:rFonts w:ascii="Calibri" w:hAnsi="Calibri"/>
                <w:color w:val="000000"/>
              </w:rPr>
              <w:t>The dimensions of f</w:t>
            </w:r>
            <w:r w:rsidR="0070739C">
              <w:rPr>
                <w:rFonts w:ascii="Calibri" w:hAnsi="Calibri"/>
                <w:color w:val="000000"/>
              </w:rPr>
              <w:t xml:space="preserve">ood security </w:t>
            </w:r>
            <w:r>
              <w:rPr>
                <w:rFonts w:ascii="Calibri" w:hAnsi="Calibri"/>
                <w:color w:val="000000"/>
              </w:rPr>
              <w:t>are</w:t>
            </w:r>
            <w:r w:rsidR="0070739C">
              <w:rPr>
                <w:rFonts w:ascii="Calibri" w:hAnsi="Calibri"/>
                <w:color w:val="000000"/>
              </w:rPr>
              <w:t xml:space="preserve"> commonly represented through three pillars: </w:t>
            </w:r>
            <w:r w:rsidR="0070739C" w:rsidRPr="0047103B">
              <w:rPr>
                <w:rFonts w:ascii="Calibri" w:hAnsi="Calibri"/>
                <w:b/>
                <w:bCs/>
                <w:color w:val="000000"/>
              </w:rPr>
              <w:t>Availability</w:t>
            </w:r>
            <w:r w:rsidR="0070739C">
              <w:rPr>
                <w:rFonts w:ascii="Calibri" w:hAnsi="Calibri"/>
                <w:color w:val="000000"/>
              </w:rPr>
              <w:t xml:space="preserve">, </w:t>
            </w:r>
            <w:r w:rsidR="0070739C" w:rsidRPr="0047103B">
              <w:rPr>
                <w:rFonts w:ascii="Calibri" w:hAnsi="Calibri"/>
                <w:b/>
                <w:bCs/>
                <w:color w:val="000000"/>
              </w:rPr>
              <w:t>Access</w:t>
            </w:r>
            <w:r w:rsidR="0070739C">
              <w:rPr>
                <w:rFonts w:ascii="Calibri" w:hAnsi="Calibri"/>
                <w:color w:val="000000"/>
              </w:rPr>
              <w:t xml:space="preserve"> and </w:t>
            </w:r>
            <w:r w:rsidR="0070739C" w:rsidRPr="0047103B">
              <w:rPr>
                <w:rFonts w:ascii="Calibri" w:hAnsi="Calibri"/>
                <w:b/>
                <w:bCs/>
                <w:color w:val="000000"/>
              </w:rPr>
              <w:t>Utilization</w:t>
            </w:r>
            <w:r w:rsidR="0070739C">
              <w:rPr>
                <w:rFonts w:ascii="Calibri" w:hAnsi="Calibri"/>
                <w:color w:val="000000"/>
              </w:rPr>
              <w:t xml:space="preserve">. The FAO adds a fourth pillar </w:t>
            </w:r>
            <w:r w:rsidR="002F29FE">
              <w:rPr>
                <w:rFonts w:ascii="Calibri" w:hAnsi="Calibri"/>
                <w:color w:val="000000"/>
              </w:rPr>
              <w:t xml:space="preserve">- </w:t>
            </w:r>
            <w:r w:rsidR="0070739C" w:rsidRPr="0047103B">
              <w:rPr>
                <w:rFonts w:ascii="Calibri" w:hAnsi="Calibri"/>
                <w:b/>
                <w:bCs/>
                <w:color w:val="000000"/>
              </w:rPr>
              <w:t>Stability</w:t>
            </w:r>
          </w:p>
        </w:tc>
        <w:tc>
          <w:tcPr>
            <w:tcW w:w="2647" w:type="dxa"/>
          </w:tcPr>
          <w:p w14:paraId="18A2C9D6" w14:textId="77777777" w:rsidR="00B879A2" w:rsidRPr="005F7FD8" w:rsidRDefault="00B879A2" w:rsidP="00A97F83"/>
        </w:tc>
        <w:tc>
          <w:tcPr>
            <w:tcW w:w="2647" w:type="dxa"/>
          </w:tcPr>
          <w:p w14:paraId="3862CA08" w14:textId="5B68A7CC" w:rsidR="003E05A8" w:rsidRDefault="009F311F" w:rsidP="00A97F83">
            <w:hyperlink r:id="rId24" w:history="1">
              <w:r w:rsidR="003E05A8" w:rsidRPr="007A3377">
                <w:rPr>
                  <w:rStyle w:val="Hyperlink"/>
                </w:rPr>
                <w:t>http://www.who.int/trade/glossary/story028/en/</w:t>
              </w:r>
            </w:hyperlink>
          </w:p>
          <w:p w14:paraId="58FA2329" w14:textId="77777777" w:rsidR="003E05A8" w:rsidRDefault="003E05A8" w:rsidP="00A97F83"/>
          <w:p w14:paraId="3825E5CB" w14:textId="40ED5772" w:rsidR="00B879A2" w:rsidRPr="005F7FD8" w:rsidRDefault="009F311F" w:rsidP="00A97F83">
            <w:hyperlink r:id="rId25" w:history="1">
              <w:r w:rsidR="00B879A2" w:rsidRPr="00726D9A">
                <w:rPr>
                  <w:rStyle w:val="Hyperlink"/>
                </w:rPr>
                <w:t>http://documents.wfp.org/stellent/groups/public/documents/manual_guide_proced/wfp243771.pdf</w:t>
              </w:r>
            </w:hyperlink>
            <w:r w:rsidR="0070739C">
              <w:t xml:space="preserve"> </w:t>
            </w:r>
          </w:p>
        </w:tc>
      </w:tr>
      <w:tr w:rsidR="0070739C" w14:paraId="50B4A580" w14:textId="77777777" w:rsidTr="001A06C1">
        <w:tc>
          <w:tcPr>
            <w:tcW w:w="1495" w:type="dxa"/>
            <w:shd w:val="clear" w:color="auto" w:fill="auto"/>
          </w:tcPr>
          <w:p w14:paraId="4632BBD4" w14:textId="703AA08B" w:rsidR="0070739C" w:rsidRDefault="0070739C" w:rsidP="00A97F83">
            <w:pPr>
              <w:rPr>
                <w:rFonts w:ascii="Calibri" w:hAnsi="Calibri"/>
                <w:b/>
                <w:bCs/>
                <w:color w:val="000000"/>
              </w:rPr>
            </w:pPr>
            <w:r>
              <w:rPr>
                <w:rFonts w:ascii="Calibri" w:hAnsi="Calibri"/>
                <w:b/>
                <w:bCs/>
                <w:color w:val="000000"/>
              </w:rPr>
              <w:t>Food Security: Availability</w:t>
            </w:r>
          </w:p>
        </w:tc>
        <w:tc>
          <w:tcPr>
            <w:tcW w:w="4022" w:type="dxa"/>
            <w:shd w:val="clear" w:color="auto" w:fill="auto"/>
          </w:tcPr>
          <w:p w14:paraId="235C9354" w14:textId="28AF3F03" w:rsidR="0070739C" w:rsidRDefault="002F29FE" w:rsidP="0070739C">
            <w:pPr>
              <w:rPr>
                <w:rFonts w:ascii="Calibri" w:hAnsi="Calibri"/>
                <w:color w:val="000000"/>
              </w:rPr>
            </w:pPr>
            <w:r>
              <w:rPr>
                <w:rFonts w:ascii="Calibri" w:hAnsi="Calibri"/>
                <w:color w:val="000000"/>
              </w:rPr>
              <w:t xml:space="preserve">WHO definition: </w:t>
            </w:r>
            <w:r w:rsidR="0070739C">
              <w:rPr>
                <w:rFonts w:ascii="Calibri" w:hAnsi="Calibri"/>
                <w:color w:val="000000"/>
              </w:rPr>
              <w:t>“</w:t>
            </w:r>
            <w:r w:rsidR="0070739C" w:rsidRPr="00F77E6E">
              <w:rPr>
                <w:rFonts w:ascii="Calibri" w:hAnsi="Calibri"/>
                <w:b/>
                <w:bCs/>
                <w:color w:val="000000"/>
              </w:rPr>
              <w:t>Food availability</w:t>
            </w:r>
            <w:r w:rsidR="0070739C" w:rsidRPr="0070739C">
              <w:rPr>
                <w:rFonts w:ascii="Calibri" w:hAnsi="Calibri"/>
                <w:color w:val="000000"/>
              </w:rPr>
              <w:t xml:space="preserve"> is achieved when sufficient quantities of food are available</w:t>
            </w:r>
            <w:r w:rsidR="0070739C">
              <w:rPr>
                <w:rFonts w:ascii="Calibri" w:hAnsi="Calibri"/>
                <w:color w:val="000000"/>
              </w:rPr>
              <w:t xml:space="preserve"> </w:t>
            </w:r>
            <w:r w:rsidR="0070739C" w:rsidRPr="0070739C">
              <w:rPr>
                <w:rFonts w:ascii="Calibri" w:hAnsi="Calibri"/>
                <w:color w:val="000000"/>
              </w:rPr>
              <w:t>within a country through domestic production, commercial imports, national</w:t>
            </w:r>
            <w:r w:rsidR="0070739C">
              <w:rPr>
                <w:rFonts w:ascii="Calibri" w:hAnsi="Calibri"/>
                <w:color w:val="000000"/>
              </w:rPr>
              <w:t xml:space="preserve"> </w:t>
            </w:r>
            <w:r w:rsidR="0070739C" w:rsidRPr="0070739C">
              <w:rPr>
                <w:rFonts w:ascii="Calibri" w:hAnsi="Calibri"/>
                <w:color w:val="000000"/>
              </w:rPr>
              <w:t>stocks and food aid.</w:t>
            </w:r>
            <w:r w:rsidR="0070739C">
              <w:rPr>
                <w:rFonts w:ascii="Calibri" w:hAnsi="Calibri"/>
                <w:color w:val="000000"/>
              </w:rPr>
              <w:t>”</w:t>
            </w:r>
          </w:p>
        </w:tc>
        <w:tc>
          <w:tcPr>
            <w:tcW w:w="2869" w:type="dxa"/>
            <w:shd w:val="clear" w:color="auto" w:fill="auto"/>
          </w:tcPr>
          <w:p w14:paraId="318CB2CA" w14:textId="0A5D53FD" w:rsidR="0070739C" w:rsidRDefault="003D3247" w:rsidP="003D3247">
            <w:pPr>
              <w:rPr>
                <w:rFonts w:ascii="Calibri" w:hAnsi="Calibri"/>
                <w:color w:val="000000"/>
              </w:rPr>
            </w:pPr>
            <w:r>
              <w:rPr>
                <w:rFonts w:ascii="Calibri" w:hAnsi="Calibri"/>
                <w:color w:val="000000"/>
              </w:rPr>
              <w:t>Must consider what aspects of available food (domestic production, imports, food stocks and food aid) present in a country or region are relevant to the context of a project. If food is available in a country, it is not necessarily available within the geographically-targeted area</w:t>
            </w:r>
            <w:r w:rsidR="00430AB6">
              <w:rPr>
                <w:rFonts w:ascii="Calibri" w:hAnsi="Calibri"/>
                <w:color w:val="000000"/>
              </w:rPr>
              <w:t>.</w:t>
            </w:r>
          </w:p>
        </w:tc>
        <w:tc>
          <w:tcPr>
            <w:tcW w:w="2647" w:type="dxa"/>
          </w:tcPr>
          <w:p w14:paraId="7DB3CED7" w14:textId="27852C10" w:rsidR="0070739C" w:rsidRPr="005F7FD8" w:rsidRDefault="00BB7BCA" w:rsidP="00A97F83">
            <w:r>
              <w:t>Share of dietary energy supply derived from cereals, roots and tubers</w:t>
            </w:r>
          </w:p>
        </w:tc>
        <w:tc>
          <w:tcPr>
            <w:tcW w:w="2647" w:type="dxa"/>
          </w:tcPr>
          <w:p w14:paraId="3C05F13B" w14:textId="21EA7E4B" w:rsidR="003E05A8" w:rsidRDefault="009F311F" w:rsidP="00A97F83">
            <w:hyperlink r:id="rId26" w:history="1">
              <w:r w:rsidR="003E05A8" w:rsidRPr="007A3377">
                <w:rPr>
                  <w:rStyle w:val="Hyperlink"/>
                </w:rPr>
                <w:t>http://www.who.int/trade/glossary/story028/en/</w:t>
              </w:r>
            </w:hyperlink>
          </w:p>
          <w:p w14:paraId="3BFBB586" w14:textId="77777777" w:rsidR="003E05A8" w:rsidRDefault="003E05A8" w:rsidP="00A97F83"/>
          <w:p w14:paraId="4C356105" w14:textId="4B0441B8" w:rsidR="0070739C" w:rsidRDefault="009F311F" w:rsidP="00A97F83">
            <w:hyperlink r:id="rId27" w:history="1">
              <w:r w:rsidR="0070739C" w:rsidRPr="00812CE5">
                <w:rPr>
                  <w:rStyle w:val="Hyperlink"/>
                </w:rPr>
                <w:t>http://documents.wfp.org/stellent/groups/public/documents/manual_guide_proced/wfp243771.pdf</w:t>
              </w:r>
            </w:hyperlink>
          </w:p>
          <w:p w14:paraId="7612F7AD" w14:textId="7133502E" w:rsidR="0070739C" w:rsidRDefault="0070739C" w:rsidP="00A97F83">
            <w:r>
              <w:t>pg. 14</w:t>
            </w:r>
          </w:p>
        </w:tc>
      </w:tr>
      <w:tr w:rsidR="0070739C" w14:paraId="4CB5A9A9" w14:textId="77777777" w:rsidTr="001A06C1">
        <w:tc>
          <w:tcPr>
            <w:tcW w:w="1495" w:type="dxa"/>
            <w:shd w:val="clear" w:color="auto" w:fill="auto"/>
          </w:tcPr>
          <w:p w14:paraId="0360B4F4" w14:textId="4D8D3D36" w:rsidR="0070739C" w:rsidRDefault="0070739C" w:rsidP="00A97F83">
            <w:pPr>
              <w:rPr>
                <w:rFonts w:ascii="Calibri" w:hAnsi="Calibri"/>
                <w:b/>
                <w:bCs/>
                <w:color w:val="000000"/>
              </w:rPr>
            </w:pPr>
            <w:r>
              <w:rPr>
                <w:rFonts w:ascii="Calibri" w:hAnsi="Calibri"/>
                <w:b/>
                <w:bCs/>
                <w:color w:val="000000"/>
              </w:rPr>
              <w:t>Food Security: Access</w:t>
            </w:r>
          </w:p>
        </w:tc>
        <w:tc>
          <w:tcPr>
            <w:tcW w:w="4022" w:type="dxa"/>
            <w:shd w:val="clear" w:color="auto" w:fill="auto"/>
          </w:tcPr>
          <w:p w14:paraId="300AAEB6" w14:textId="66111E78" w:rsidR="0070739C" w:rsidRDefault="002F29FE" w:rsidP="00A57A23">
            <w:pPr>
              <w:rPr>
                <w:rFonts w:ascii="Calibri" w:hAnsi="Calibri"/>
                <w:color w:val="000000"/>
              </w:rPr>
            </w:pPr>
            <w:r>
              <w:rPr>
                <w:rFonts w:ascii="Calibri" w:hAnsi="Calibri"/>
                <w:color w:val="000000"/>
              </w:rPr>
              <w:t xml:space="preserve">WHO definition: </w:t>
            </w:r>
            <w:r w:rsidR="00F77E6E">
              <w:rPr>
                <w:rFonts w:ascii="Calibri" w:hAnsi="Calibri"/>
                <w:color w:val="000000"/>
              </w:rPr>
              <w:t>“</w:t>
            </w:r>
            <w:r w:rsidR="00F77E6E" w:rsidRPr="00F77E6E">
              <w:rPr>
                <w:rFonts w:ascii="Calibri" w:hAnsi="Calibri"/>
                <w:b/>
                <w:bCs/>
                <w:color w:val="000000"/>
              </w:rPr>
              <w:t>Food access</w:t>
            </w:r>
            <w:r w:rsidR="00F77E6E" w:rsidRPr="00F77E6E">
              <w:rPr>
                <w:rFonts w:ascii="Calibri" w:hAnsi="Calibri"/>
                <w:color w:val="000000"/>
              </w:rPr>
              <w:t xml:space="preserve"> is ensured when households are able to acquire adequate amounts</w:t>
            </w:r>
            <w:r w:rsidR="00F77E6E">
              <w:rPr>
                <w:rFonts w:ascii="Calibri" w:hAnsi="Calibri"/>
                <w:color w:val="000000"/>
              </w:rPr>
              <w:t xml:space="preserve"> </w:t>
            </w:r>
            <w:r w:rsidR="00F77E6E" w:rsidRPr="00F77E6E">
              <w:rPr>
                <w:rFonts w:ascii="Calibri" w:hAnsi="Calibri"/>
                <w:color w:val="000000"/>
              </w:rPr>
              <w:t>of food. Access depends on their own production, household income, the</w:t>
            </w:r>
            <w:r w:rsidR="00F77E6E">
              <w:rPr>
                <w:rFonts w:ascii="Calibri" w:hAnsi="Calibri"/>
                <w:color w:val="000000"/>
              </w:rPr>
              <w:t xml:space="preserve"> </w:t>
            </w:r>
            <w:r w:rsidR="00F77E6E" w:rsidRPr="00F77E6E">
              <w:rPr>
                <w:rFonts w:ascii="Calibri" w:hAnsi="Calibri"/>
                <w:color w:val="000000"/>
              </w:rPr>
              <w:t>distribution of income within households and the price of food.</w:t>
            </w:r>
            <w:r w:rsidR="00F77E6E">
              <w:rPr>
                <w:rFonts w:ascii="Calibri" w:hAnsi="Calibri"/>
                <w:color w:val="000000"/>
              </w:rPr>
              <w:t>”</w:t>
            </w:r>
            <w:r w:rsidR="003E05A8">
              <w:rPr>
                <w:rFonts w:ascii="Calibri" w:hAnsi="Calibri"/>
                <w:color w:val="000000"/>
              </w:rPr>
              <w:t xml:space="preserve"> </w:t>
            </w:r>
          </w:p>
        </w:tc>
        <w:tc>
          <w:tcPr>
            <w:tcW w:w="2869" w:type="dxa"/>
            <w:shd w:val="clear" w:color="auto" w:fill="auto"/>
          </w:tcPr>
          <w:p w14:paraId="589677DA" w14:textId="39014370" w:rsidR="009B54E0" w:rsidRDefault="009B54E0" w:rsidP="00A97F83">
            <w:pPr>
              <w:rPr>
                <w:rFonts w:ascii="Calibri" w:hAnsi="Calibri"/>
                <w:color w:val="000000"/>
              </w:rPr>
            </w:pPr>
            <w:r>
              <w:rPr>
                <w:rFonts w:ascii="Calibri" w:hAnsi="Calibri"/>
                <w:color w:val="000000"/>
              </w:rPr>
              <w:t>Access entails physical, economic and social access.</w:t>
            </w:r>
          </w:p>
          <w:p w14:paraId="1F80B8D8" w14:textId="77777777" w:rsidR="009B54E0" w:rsidRDefault="009B54E0" w:rsidP="00A97F83">
            <w:pPr>
              <w:rPr>
                <w:rFonts w:ascii="Calibri" w:hAnsi="Calibri"/>
                <w:color w:val="000000"/>
              </w:rPr>
            </w:pPr>
          </w:p>
          <w:p w14:paraId="24DD4D31" w14:textId="4364EDF8" w:rsidR="0070739C" w:rsidRDefault="0070739C" w:rsidP="00A97F83">
            <w:pPr>
              <w:rPr>
                <w:rFonts w:ascii="Calibri" w:hAnsi="Calibri"/>
                <w:color w:val="000000"/>
              </w:rPr>
            </w:pPr>
            <w:r>
              <w:rPr>
                <w:rFonts w:ascii="Calibri" w:hAnsi="Calibri"/>
                <w:color w:val="000000"/>
              </w:rPr>
              <w:t>Access is addressed in</w:t>
            </w:r>
            <w:r w:rsidR="001D30DA">
              <w:rPr>
                <w:rFonts w:ascii="Calibri" w:hAnsi="Calibri"/>
                <w:color w:val="000000"/>
              </w:rPr>
              <w:t xml:space="preserve"> several of the included proxy indicators</w:t>
            </w:r>
          </w:p>
        </w:tc>
        <w:tc>
          <w:tcPr>
            <w:tcW w:w="2647" w:type="dxa"/>
          </w:tcPr>
          <w:p w14:paraId="58E718CE" w14:textId="318FCE9E" w:rsidR="0070739C" w:rsidRPr="005F7FD8" w:rsidRDefault="00BB7BCA" w:rsidP="00A97F83">
            <w:r>
              <w:t>% of paved roads over total roads</w:t>
            </w:r>
          </w:p>
        </w:tc>
        <w:tc>
          <w:tcPr>
            <w:tcW w:w="2647" w:type="dxa"/>
          </w:tcPr>
          <w:p w14:paraId="040A5703" w14:textId="4A0E1A65" w:rsidR="003E05A8" w:rsidRDefault="009F311F" w:rsidP="0070739C">
            <w:hyperlink r:id="rId28" w:history="1">
              <w:r w:rsidR="003E05A8" w:rsidRPr="007A3377">
                <w:rPr>
                  <w:rStyle w:val="Hyperlink"/>
                </w:rPr>
                <w:t>http://www.who.int/trade/glossary/story028/en/</w:t>
              </w:r>
            </w:hyperlink>
          </w:p>
          <w:p w14:paraId="1A177A39" w14:textId="77777777" w:rsidR="003E05A8" w:rsidRDefault="003E05A8" w:rsidP="0070739C"/>
          <w:p w14:paraId="1F9557F1" w14:textId="1BB8C6D0" w:rsidR="0070739C" w:rsidRDefault="009F311F" w:rsidP="0070739C">
            <w:hyperlink r:id="rId29" w:history="1">
              <w:r w:rsidR="0070739C" w:rsidRPr="00812CE5">
                <w:rPr>
                  <w:rStyle w:val="Hyperlink"/>
                </w:rPr>
                <w:t>http://documents.wfp.org/stellent/groups/public/documents/manual_guide_proced/wfp243771.pdf</w:t>
              </w:r>
            </w:hyperlink>
          </w:p>
          <w:p w14:paraId="34AF8608" w14:textId="3F5B8E92" w:rsidR="0070739C" w:rsidRDefault="0070739C" w:rsidP="0070739C">
            <w:r>
              <w:t>pg. 14</w:t>
            </w:r>
          </w:p>
        </w:tc>
      </w:tr>
      <w:tr w:rsidR="0070739C" w14:paraId="7F79655E" w14:textId="77777777" w:rsidTr="001A06C1">
        <w:tc>
          <w:tcPr>
            <w:tcW w:w="1495" w:type="dxa"/>
            <w:shd w:val="clear" w:color="auto" w:fill="auto"/>
          </w:tcPr>
          <w:p w14:paraId="45497155" w14:textId="3C3C975B" w:rsidR="0070739C" w:rsidRDefault="0070739C" w:rsidP="00A97F83">
            <w:pPr>
              <w:rPr>
                <w:rFonts w:ascii="Calibri" w:hAnsi="Calibri"/>
                <w:b/>
                <w:bCs/>
                <w:color w:val="000000"/>
              </w:rPr>
            </w:pPr>
            <w:r>
              <w:rPr>
                <w:rFonts w:ascii="Calibri" w:hAnsi="Calibri"/>
                <w:b/>
                <w:bCs/>
                <w:color w:val="000000"/>
              </w:rPr>
              <w:t>Food Security: Stability</w:t>
            </w:r>
          </w:p>
        </w:tc>
        <w:tc>
          <w:tcPr>
            <w:tcW w:w="4022" w:type="dxa"/>
            <w:shd w:val="clear" w:color="auto" w:fill="auto"/>
          </w:tcPr>
          <w:p w14:paraId="2D8DA12C" w14:textId="082A33E1" w:rsidR="0070739C" w:rsidRPr="009B54E0" w:rsidRDefault="009B54E0" w:rsidP="009B54E0">
            <w:pPr>
              <w:rPr>
                <w:rFonts w:ascii="Calibri" w:hAnsi="Calibri"/>
                <w:color w:val="000000"/>
              </w:rPr>
            </w:pPr>
            <w:r>
              <w:rPr>
                <w:rFonts w:ascii="Calibri" w:hAnsi="Calibri"/>
                <w:color w:val="000000"/>
              </w:rPr>
              <w:t xml:space="preserve">The FAO includes </w:t>
            </w:r>
            <w:r>
              <w:rPr>
                <w:rFonts w:ascii="Calibri" w:hAnsi="Calibri"/>
                <w:b/>
                <w:bCs/>
                <w:color w:val="000000"/>
              </w:rPr>
              <w:t>stability</w:t>
            </w:r>
            <w:r>
              <w:rPr>
                <w:rFonts w:ascii="Calibri" w:hAnsi="Calibri"/>
                <w:color w:val="000000"/>
              </w:rPr>
              <w:t xml:space="preserve"> because “</w:t>
            </w:r>
            <w:r w:rsidRPr="00B12C7A">
              <w:rPr>
                <w:rFonts w:ascii="Calibri" w:hAnsi="Calibri"/>
                <w:b/>
                <w:bCs/>
                <w:color w:val="000000"/>
              </w:rPr>
              <w:t>stability</w:t>
            </w:r>
            <w:r>
              <w:rPr>
                <w:rFonts w:ascii="Calibri" w:hAnsi="Calibri"/>
                <w:color w:val="000000"/>
              </w:rPr>
              <w:t xml:space="preserve"> must be present ‘at all times’</w:t>
            </w:r>
            <w:r w:rsidRPr="009B54E0">
              <w:rPr>
                <w:rFonts w:ascii="Calibri" w:hAnsi="Calibri"/>
                <w:color w:val="000000"/>
              </w:rPr>
              <w:t xml:space="preserve"> in terms of</w:t>
            </w:r>
            <w:r>
              <w:rPr>
                <w:rFonts w:ascii="Calibri" w:hAnsi="Calibri"/>
                <w:color w:val="000000"/>
              </w:rPr>
              <w:t xml:space="preserve"> </w:t>
            </w:r>
            <w:r w:rsidRPr="009B54E0">
              <w:rPr>
                <w:rFonts w:ascii="Calibri" w:hAnsi="Calibri"/>
                <w:b/>
                <w:bCs/>
                <w:color w:val="000000"/>
              </w:rPr>
              <w:t>availability</w:t>
            </w:r>
            <w:r w:rsidRPr="009B54E0">
              <w:rPr>
                <w:rFonts w:ascii="Calibri" w:hAnsi="Calibri"/>
                <w:color w:val="000000"/>
              </w:rPr>
              <w:t xml:space="preserve">, </w:t>
            </w:r>
            <w:r w:rsidRPr="009B54E0">
              <w:rPr>
                <w:rFonts w:ascii="Calibri" w:hAnsi="Calibri"/>
                <w:b/>
                <w:bCs/>
                <w:color w:val="000000"/>
              </w:rPr>
              <w:t>access</w:t>
            </w:r>
            <w:r w:rsidRPr="009B54E0">
              <w:rPr>
                <w:rFonts w:ascii="Calibri" w:hAnsi="Calibri"/>
                <w:color w:val="000000"/>
              </w:rPr>
              <w:t xml:space="preserve"> and </w:t>
            </w:r>
            <w:r w:rsidRPr="009B54E0">
              <w:rPr>
                <w:rFonts w:ascii="Calibri" w:hAnsi="Calibri"/>
                <w:b/>
                <w:bCs/>
                <w:color w:val="000000"/>
              </w:rPr>
              <w:t>utilization</w:t>
            </w:r>
            <w:r w:rsidRPr="009B54E0">
              <w:rPr>
                <w:rFonts w:ascii="Calibri" w:hAnsi="Calibri"/>
                <w:color w:val="000000"/>
              </w:rPr>
              <w:t xml:space="preserve"> for food security to exist.</w:t>
            </w:r>
            <w:r>
              <w:rPr>
                <w:rFonts w:ascii="Calibri" w:hAnsi="Calibri"/>
                <w:color w:val="000000"/>
              </w:rPr>
              <w:t>”</w:t>
            </w:r>
          </w:p>
        </w:tc>
        <w:tc>
          <w:tcPr>
            <w:tcW w:w="2869" w:type="dxa"/>
            <w:shd w:val="clear" w:color="auto" w:fill="auto"/>
          </w:tcPr>
          <w:p w14:paraId="2D6CDFEA" w14:textId="1D489B1D" w:rsidR="0070739C" w:rsidRDefault="009B54E0" w:rsidP="00A97F83">
            <w:pPr>
              <w:rPr>
                <w:rFonts w:ascii="Calibri" w:hAnsi="Calibri"/>
                <w:color w:val="000000"/>
              </w:rPr>
            </w:pPr>
            <w:r>
              <w:rPr>
                <w:rFonts w:ascii="Calibri" w:hAnsi="Calibri"/>
                <w:color w:val="000000"/>
              </w:rPr>
              <w:t xml:space="preserve">Stability is a qualification of the </w:t>
            </w:r>
            <w:r w:rsidR="002F29FE">
              <w:rPr>
                <w:rFonts w:ascii="Calibri" w:hAnsi="Calibri"/>
                <w:color w:val="000000"/>
              </w:rPr>
              <w:t>three</w:t>
            </w:r>
            <w:r>
              <w:rPr>
                <w:rFonts w:ascii="Calibri" w:hAnsi="Calibri"/>
                <w:color w:val="000000"/>
              </w:rPr>
              <w:t xml:space="preserve"> commonly accepted pillars of food security. </w:t>
            </w:r>
          </w:p>
        </w:tc>
        <w:tc>
          <w:tcPr>
            <w:tcW w:w="2647" w:type="dxa"/>
          </w:tcPr>
          <w:p w14:paraId="44D6E00F" w14:textId="252F6D69" w:rsidR="0070739C" w:rsidRPr="005F7FD8" w:rsidRDefault="00BB7BCA" w:rsidP="00A97F83">
            <w:r>
              <w:t>Domestic food price volatility</w:t>
            </w:r>
          </w:p>
        </w:tc>
        <w:tc>
          <w:tcPr>
            <w:tcW w:w="2647" w:type="dxa"/>
          </w:tcPr>
          <w:p w14:paraId="09051D39" w14:textId="61A308C8" w:rsidR="0070739C" w:rsidRDefault="009F311F" w:rsidP="00A97F83">
            <w:hyperlink r:id="rId30" w:history="1">
              <w:r w:rsidR="00704944" w:rsidRPr="00812CE5">
                <w:rPr>
                  <w:rStyle w:val="Hyperlink"/>
                </w:rPr>
                <w:t>http://www.fao.org/fileadmin/templates/ERP/uni/FIMI.pdf</w:t>
              </w:r>
            </w:hyperlink>
          </w:p>
          <w:p w14:paraId="025E874E" w14:textId="4694CA9B" w:rsidR="00704944" w:rsidRDefault="00704944" w:rsidP="00A97F83">
            <w:r>
              <w:t>pg. 20</w:t>
            </w:r>
          </w:p>
        </w:tc>
      </w:tr>
      <w:tr w:rsidR="0070739C" w14:paraId="23ABA0A7" w14:textId="77777777" w:rsidTr="001A06C1">
        <w:tc>
          <w:tcPr>
            <w:tcW w:w="1495" w:type="dxa"/>
            <w:shd w:val="clear" w:color="auto" w:fill="auto"/>
          </w:tcPr>
          <w:p w14:paraId="7067BF2B" w14:textId="3E722685" w:rsidR="0070739C" w:rsidRDefault="0070739C" w:rsidP="00A97F83">
            <w:pPr>
              <w:rPr>
                <w:rFonts w:ascii="Calibri" w:hAnsi="Calibri"/>
                <w:b/>
                <w:bCs/>
                <w:color w:val="000000"/>
              </w:rPr>
            </w:pPr>
            <w:r>
              <w:rPr>
                <w:rFonts w:ascii="Calibri" w:hAnsi="Calibri"/>
                <w:b/>
                <w:bCs/>
                <w:color w:val="000000"/>
              </w:rPr>
              <w:t>Food Security: Utilization</w:t>
            </w:r>
          </w:p>
        </w:tc>
        <w:tc>
          <w:tcPr>
            <w:tcW w:w="4022" w:type="dxa"/>
            <w:shd w:val="clear" w:color="auto" w:fill="auto"/>
          </w:tcPr>
          <w:p w14:paraId="571DC23D" w14:textId="39CACD44" w:rsidR="0070739C" w:rsidRDefault="002F29FE" w:rsidP="00F77E6E">
            <w:pPr>
              <w:rPr>
                <w:rFonts w:ascii="Calibri" w:hAnsi="Calibri"/>
                <w:color w:val="000000"/>
              </w:rPr>
            </w:pPr>
            <w:r>
              <w:rPr>
                <w:rFonts w:ascii="Calibri" w:hAnsi="Calibri"/>
                <w:color w:val="000000"/>
              </w:rPr>
              <w:t xml:space="preserve">WHO definition: </w:t>
            </w:r>
            <w:r w:rsidR="00F77E6E">
              <w:rPr>
                <w:rFonts w:ascii="Calibri" w:hAnsi="Calibri"/>
                <w:color w:val="000000"/>
              </w:rPr>
              <w:t>“</w:t>
            </w:r>
            <w:r w:rsidR="00F77E6E" w:rsidRPr="00F77E6E">
              <w:rPr>
                <w:rFonts w:ascii="Calibri" w:hAnsi="Calibri"/>
                <w:b/>
                <w:bCs/>
                <w:color w:val="000000"/>
              </w:rPr>
              <w:t>Food utilization</w:t>
            </w:r>
            <w:r w:rsidR="00F77E6E" w:rsidRPr="00F77E6E">
              <w:rPr>
                <w:rFonts w:ascii="Calibri" w:hAnsi="Calibri"/>
                <w:color w:val="000000"/>
              </w:rPr>
              <w:t xml:space="preserve"> refers to household food preparation and use in maintaining</w:t>
            </w:r>
            <w:r w:rsidR="00F77E6E">
              <w:rPr>
                <w:rFonts w:ascii="Calibri" w:hAnsi="Calibri"/>
                <w:color w:val="000000"/>
              </w:rPr>
              <w:t xml:space="preserve"> </w:t>
            </w:r>
            <w:r w:rsidR="00F77E6E" w:rsidRPr="00F77E6E">
              <w:rPr>
                <w:rFonts w:ascii="Calibri" w:hAnsi="Calibri"/>
                <w:color w:val="000000"/>
              </w:rPr>
              <w:t>a balanced diet and intra-household distribution, along with individuals’ ability</w:t>
            </w:r>
            <w:r w:rsidR="00F77E6E">
              <w:rPr>
                <w:rFonts w:ascii="Calibri" w:hAnsi="Calibri"/>
                <w:color w:val="000000"/>
              </w:rPr>
              <w:t xml:space="preserve"> </w:t>
            </w:r>
            <w:r w:rsidR="00F77E6E" w:rsidRPr="00F77E6E">
              <w:rPr>
                <w:rFonts w:ascii="Calibri" w:hAnsi="Calibri"/>
                <w:color w:val="000000"/>
              </w:rPr>
              <w:t>to absorb and metabolize nutrients.</w:t>
            </w:r>
            <w:r w:rsidR="00F77E6E">
              <w:rPr>
                <w:rFonts w:ascii="Calibri" w:hAnsi="Calibri"/>
                <w:color w:val="000000"/>
              </w:rPr>
              <w:t>”</w:t>
            </w:r>
          </w:p>
        </w:tc>
        <w:tc>
          <w:tcPr>
            <w:tcW w:w="2869" w:type="dxa"/>
            <w:shd w:val="clear" w:color="auto" w:fill="auto"/>
          </w:tcPr>
          <w:p w14:paraId="2BB19479" w14:textId="7C1B34D3" w:rsidR="0070739C" w:rsidRDefault="003E3D35" w:rsidP="00A97F83">
            <w:pPr>
              <w:rPr>
                <w:rFonts w:ascii="Calibri" w:hAnsi="Calibri"/>
                <w:color w:val="000000"/>
              </w:rPr>
            </w:pPr>
            <w:r>
              <w:rPr>
                <w:rFonts w:ascii="Calibri" w:hAnsi="Calibri"/>
                <w:color w:val="000000"/>
              </w:rPr>
              <w:t xml:space="preserve">Utilization is typically measured through health and nutrition indicators. </w:t>
            </w:r>
          </w:p>
        </w:tc>
        <w:tc>
          <w:tcPr>
            <w:tcW w:w="2647" w:type="dxa"/>
          </w:tcPr>
          <w:p w14:paraId="5699B887" w14:textId="05736C06" w:rsidR="0070739C" w:rsidRPr="005F7FD8" w:rsidRDefault="00BB7BCA" w:rsidP="00A97F83">
            <w:r>
              <w:t xml:space="preserve">% of children under </w:t>
            </w:r>
            <w:r w:rsidR="002F29FE">
              <w:t>5</w:t>
            </w:r>
            <w:r>
              <w:t xml:space="preserve"> years of age affected by wasting</w:t>
            </w:r>
          </w:p>
        </w:tc>
        <w:tc>
          <w:tcPr>
            <w:tcW w:w="2647" w:type="dxa"/>
          </w:tcPr>
          <w:p w14:paraId="39F1814B" w14:textId="78217248" w:rsidR="003E05A8" w:rsidRDefault="009F311F" w:rsidP="0070739C">
            <w:hyperlink r:id="rId31" w:history="1">
              <w:r w:rsidR="003E05A8" w:rsidRPr="007A3377">
                <w:rPr>
                  <w:rStyle w:val="Hyperlink"/>
                </w:rPr>
                <w:t>http://www.who.int/trade/glossary/story028/en/</w:t>
              </w:r>
            </w:hyperlink>
          </w:p>
          <w:p w14:paraId="362A1989" w14:textId="77777777" w:rsidR="003E05A8" w:rsidRDefault="003E05A8" w:rsidP="0070739C"/>
          <w:p w14:paraId="36793E99" w14:textId="00F9EE52" w:rsidR="0070739C" w:rsidRDefault="009F311F" w:rsidP="0070739C">
            <w:hyperlink r:id="rId32" w:history="1">
              <w:r w:rsidR="0070739C" w:rsidRPr="00812CE5">
                <w:rPr>
                  <w:rStyle w:val="Hyperlink"/>
                </w:rPr>
                <w:t>http://documents.wfp.org/stellent/groups/public/documents/manual_guide_proced/wfp243771.pdf</w:t>
              </w:r>
            </w:hyperlink>
          </w:p>
          <w:p w14:paraId="6248F353" w14:textId="646338F7" w:rsidR="0070739C" w:rsidRDefault="0070739C" w:rsidP="0070739C">
            <w:r>
              <w:t>pg. 14</w:t>
            </w:r>
          </w:p>
        </w:tc>
      </w:tr>
      <w:tr w:rsidR="00B879A2" w14:paraId="002BC5A2" w14:textId="77777777" w:rsidTr="001A06C1">
        <w:tc>
          <w:tcPr>
            <w:tcW w:w="1495" w:type="dxa"/>
            <w:shd w:val="clear" w:color="auto" w:fill="auto"/>
          </w:tcPr>
          <w:p w14:paraId="3EBCD786" w14:textId="77777777" w:rsidR="00B879A2" w:rsidRPr="005F7FD8" w:rsidRDefault="00B879A2" w:rsidP="00A97F83">
            <w:pPr>
              <w:rPr>
                <w:rFonts w:ascii="Calibri" w:hAnsi="Calibri"/>
                <w:b/>
                <w:bCs/>
                <w:color w:val="000000"/>
              </w:rPr>
            </w:pPr>
            <w:r>
              <w:rPr>
                <w:rFonts w:ascii="Calibri" w:hAnsi="Calibri"/>
                <w:b/>
                <w:bCs/>
                <w:color w:val="000000"/>
              </w:rPr>
              <w:t>Household Dietary Diversity Score (HDDS)</w:t>
            </w:r>
          </w:p>
        </w:tc>
        <w:tc>
          <w:tcPr>
            <w:tcW w:w="4022" w:type="dxa"/>
            <w:shd w:val="clear" w:color="auto" w:fill="auto"/>
          </w:tcPr>
          <w:p w14:paraId="6DA4F835" w14:textId="77777777" w:rsidR="00B879A2" w:rsidRPr="005F7FD8" w:rsidRDefault="00B879A2" w:rsidP="00A97F83">
            <w:pPr>
              <w:rPr>
                <w:rFonts w:ascii="Calibri" w:hAnsi="Calibri"/>
                <w:color w:val="000000"/>
              </w:rPr>
            </w:pPr>
            <w:r>
              <w:rPr>
                <w:rFonts w:ascii="Calibri" w:hAnsi="Calibri"/>
                <w:color w:val="000000"/>
                <w:bdr w:val="none" w:sz="0" w:space="0" w:color="auto" w:frame="1"/>
              </w:rPr>
              <w:t>“</w:t>
            </w:r>
            <w:r w:rsidRPr="00641D2C">
              <w:rPr>
                <w:rFonts w:ascii="Calibri" w:hAnsi="Calibri"/>
                <w:color w:val="000000"/>
                <w:bdr w:val="none" w:sz="0" w:space="0" w:color="auto" w:frame="1"/>
              </w:rPr>
              <w:t xml:space="preserve">Household food </w:t>
            </w:r>
            <w:r w:rsidRPr="00461D68">
              <w:rPr>
                <w:rFonts w:ascii="Calibri" w:hAnsi="Calibri"/>
                <w:b/>
                <w:bCs/>
                <w:color w:val="000000"/>
                <w:bdr w:val="none" w:sz="0" w:space="0" w:color="auto" w:frame="1"/>
              </w:rPr>
              <w:t>access</w:t>
            </w:r>
            <w:r w:rsidRPr="00641D2C">
              <w:rPr>
                <w:rFonts w:ascii="Calibri" w:hAnsi="Calibri"/>
                <w:color w:val="000000"/>
                <w:bdr w:val="none" w:sz="0" w:space="0" w:color="auto" w:frame="1"/>
              </w:rPr>
              <w:t xml:space="preserve"> is defined as the ability to acquire a sufficient quality and quantity of food to meet all household members’ nutritional requirements for productive lives. Household dietary diversity, defined as the number of unique foods consumed by household members over a given period, has been validated to be a useful approach for measuring household food access, particularly when resources for undertaking such measurement are scarce. This guide provides an approach to collecting and measuring household dietary diversity as a proxy measure of household food access.</w:t>
            </w:r>
            <w:r>
              <w:rPr>
                <w:rFonts w:ascii="Calibri" w:hAnsi="Calibri"/>
                <w:color w:val="000000"/>
                <w:bdr w:val="none" w:sz="0" w:space="0" w:color="auto" w:frame="1"/>
              </w:rPr>
              <w:t>”</w:t>
            </w:r>
          </w:p>
        </w:tc>
        <w:tc>
          <w:tcPr>
            <w:tcW w:w="2869" w:type="dxa"/>
            <w:shd w:val="clear" w:color="auto" w:fill="auto"/>
          </w:tcPr>
          <w:p w14:paraId="6CD302DC" w14:textId="77777777" w:rsidR="00B879A2" w:rsidRDefault="00B879A2" w:rsidP="00A97F83">
            <w:pPr>
              <w:rPr>
                <w:rFonts w:ascii="Calibri" w:hAnsi="Calibri"/>
                <w:color w:val="000000"/>
              </w:rPr>
            </w:pPr>
            <w:r>
              <w:rPr>
                <w:rFonts w:ascii="Calibri" w:hAnsi="Calibri"/>
                <w:color w:val="000000"/>
              </w:rPr>
              <w:t>This indicator counts 12 food groups:</w:t>
            </w:r>
          </w:p>
          <w:p w14:paraId="7621AAA1" w14:textId="1AA93748" w:rsidR="00B879A2" w:rsidRDefault="00310E49" w:rsidP="00A97F83">
            <w:r>
              <w:t>1</w:t>
            </w:r>
            <w:r w:rsidR="00B879A2">
              <w:t xml:space="preserve">. Cereals </w:t>
            </w:r>
          </w:p>
          <w:p w14:paraId="049BD44F" w14:textId="5425D6DC" w:rsidR="00B879A2" w:rsidRDefault="00310E49" w:rsidP="00A97F83">
            <w:r>
              <w:t>2</w:t>
            </w:r>
            <w:r w:rsidR="00B879A2">
              <w:t xml:space="preserve">. Root and tubers </w:t>
            </w:r>
          </w:p>
          <w:p w14:paraId="692C8AE0" w14:textId="73FACCD3" w:rsidR="00B879A2" w:rsidRDefault="00310E49" w:rsidP="00A97F83">
            <w:r>
              <w:t>3</w:t>
            </w:r>
            <w:r w:rsidR="00B879A2">
              <w:t xml:space="preserve">. Vegetables </w:t>
            </w:r>
          </w:p>
          <w:p w14:paraId="6CD8ABB5" w14:textId="071DCCB8" w:rsidR="00B879A2" w:rsidRDefault="00310E49" w:rsidP="00A97F83">
            <w:r>
              <w:t>4</w:t>
            </w:r>
            <w:r w:rsidR="00B879A2">
              <w:t xml:space="preserve">. Fruits </w:t>
            </w:r>
          </w:p>
          <w:p w14:paraId="4F403404" w14:textId="3E05AB1E" w:rsidR="00B879A2" w:rsidRDefault="00310E49" w:rsidP="00A97F83">
            <w:r>
              <w:t>5</w:t>
            </w:r>
            <w:r w:rsidR="00B879A2">
              <w:t xml:space="preserve">. Meat, poultry, offal </w:t>
            </w:r>
          </w:p>
          <w:p w14:paraId="6D1861A1" w14:textId="76BD476C" w:rsidR="00B879A2" w:rsidRDefault="00310E49" w:rsidP="00A97F83">
            <w:r>
              <w:t>6</w:t>
            </w:r>
            <w:r w:rsidR="00B879A2">
              <w:t xml:space="preserve">. Eggs </w:t>
            </w:r>
          </w:p>
          <w:p w14:paraId="5B665812" w14:textId="36A31B83" w:rsidR="00B879A2" w:rsidRDefault="00310E49" w:rsidP="00A97F83">
            <w:r>
              <w:t>7</w:t>
            </w:r>
            <w:r w:rsidR="00B879A2">
              <w:t xml:space="preserve">. Fish and seafood </w:t>
            </w:r>
          </w:p>
          <w:p w14:paraId="004D8AAD" w14:textId="39FAFFDF" w:rsidR="00B879A2" w:rsidRDefault="00310E49" w:rsidP="00A97F83">
            <w:r>
              <w:t>8</w:t>
            </w:r>
            <w:r w:rsidR="00B879A2">
              <w:t xml:space="preserve">. Pulses/legumes/nuts </w:t>
            </w:r>
          </w:p>
          <w:p w14:paraId="39CDC40C" w14:textId="6EBCC41D" w:rsidR="00B879A2" w:rsidRDefault="00310E49" w:rsidP="00A97F83">
            <w:r>
              <w:t>9</w:t>
            </w:r>
            <w:r w:rsidR="00B879A2">
              <w:t xml:space="preserve">. Milk and milk products </w:t>
            </w:r>
          </w:p>
          <w:p w14:paraId="25E6D8DA" w14:textId="0DB808B0" w:rsidR="00B879A2" w:rsidRDefault="00310E49" w:rsidP="00A97F83">
            <w:r>
              <w:t>10</w:t>
            </w:r>
            <w:r w:rsidR="00B879A2">
              <w:t xml:space="preserve">. Oil/fats </w:t>
            </w:r>
          </w:p>
          <w:p w14:paraId="2419F8EA" w14:textId="60C90034" w:rsidR="00B879A2" w:rsidRDefault="00310E49" w:rsidP="00A97F83">
            <w:r>
              <w:t>11</w:t>
            </w:r>
            <w:r w:rsidR="00B879A2">
              <w:t xml:space="preserve">. Sugar/honey </w:t>
            </w:r>
          </w:p>
          <w:p w14:paraId="136EFB0F" w14:textId="67CB2955" w:rsidR="00B879A2" w:rsidRPr="005F7FD8" w:rsidRDefault="00310E49" w:rsidP="00A97F83">
            <w:pPr>
              <w:rPr>
                <w:rFonts w:ascii="Calibri" w:hAnsi="Calibri"/>
                <w:color w:val="000000"/>
              </w:rPr>
            </w:pPr>
            <w:r>
              <w:t>12.</w:t>
            </w:r>
            <w:r w:rsidR="00B879A2">
              <w:t xml:space="preserve"> Miscellaneous</w:t>
            </w:r>
          </w:p>
        </w:tc>
        <w:tc>
          <w:tcPr>
            <w:tcW w:w="2647" w:type="dxa"/>
          </w:tcPr>
          <w:p w14:paraId="7041DAAD" w14:textId="24356367" w:rsidR="00B879A2" w:rsidRDefault="005B2777" w:rsidP="00A97F83">
            <w:r>
              <w:t>#</w:t>
            </w:r>
            <w:r w:rsidR="00B879A2">
              <w:t xml:space="preserve"> of different food groups consume</w:t>
            </w:r>
            <w:r w:rsidR="00E9400A">
              <w:t>d over a given reference period</w:t>
            </w:r>
          </w:p>
          <w:p w14:paraId="296F1469" w14:textId="77777777" w:rsidR="00340D66" w:rsidRDefault="00340D66" w:rsidP="00A97F83"/>
          <w:p w14:paraId="23A21DF5" w14:textId="220EA1C5" w:rsidR="00340D66" w:rsidRPr="005F7FD8" w:rsidRDefault="00340D66" w:rsidP="00A97F83">
            <w:r>
              <w:rPr>
                <w:szCs w:val="20"/>
                <w:lang w:bidi="ne-NP"/>
              </w:rPr>
              <w:t>See the included link for more information about the indicators.</w:t>
            </w:r>
          </w:p>
        </w:tc>
        <w:tc>
          <w:tcPr>
            <w:tcW w:w="2647" w:type="dxa"/>
          </w:tcPr>
          <w:p w14:paraId="1D63F9A0" w14:textId="77777777" w:rsidR="00B879A2" w:rsidRDefault="009F311F" w:rsidP="00A97F83">
            <w:hyperlink r:id="rId33" w:history="1">
              <w:r w:rsidR="00B879A2" w:rsidRPr="009D3A79">
                <w:rPr>
                  <w:rStyle w:val="Hyperlink"/>
                </w:rPr>
                <w:t>http://www.fantaproject.org/monitoring-and-evaluation/household-dietary-diversity-score</w:t>
              </w:r>
            </w:hyperlink>
            <w:r w:rsidR="00B879A2">
              <w:t xml:space="preserve"> </w:t>
            </w:r>
          </w:p>
          <w:p w14:paraId="1F6C3CC1" w14:textId="77777777" w:rsidR="00B879A2" w:rsidRDefault="00B879A2" w:rsidP="00A97F83"/>
          <w:p w14:paraId="1663727C" w14:textId="77777777" w:rsidR="00B879A2" w:rsidRPr="005F7FD8" w:rsidRDefault="009F311F" w:rsidP="00A97F83">
            <w:hyperlink r:id="rId34" w:history="1">
              <w:r w:rsidR="00B879A2" w:rsidRPr="00726D9A">
                <w:rPr>
                  <w:rStyle w:val="Hyperlink"/>
                </w:rPr>
                <w:t>http://www.fao.org/3/a-i1983e.pdf</w:t>
              </w:r>
            </w:hyperlink>
            <w:r w:rsidR="00B879A2">
              <w:t xml:space="preserve"> </w:t>
            </w:r>
          </w:p>
        </w:tc>
      </w:tr>
      <w:tr w:rsidR="00B879A2" w14:paraId="35959718" w14:textId="77777777" w:rsidTr="001A06C1">
        <w:tc>
          <w:tcPr>
            <w:tcW w:w="1495" w:type="dxa"/>
            <w:shd w:val="clear" w:color="auto" w:fill="auto"/>
          </w:tcPr>
          <w:p w14:paraId="2A498F60" w14:textId="77777777" w:rsidR="00B879A2" w:rsidRPr="005F7FD8" w:rsidRDefault="00B879A2" w:rsidP="00A97F83">
            <w:pPr>
              <w:rPr>
                <w:rFonts w:ascii="Calibri" w:hAnsi="Calibri"/>
                <w:b/>
                <w:bCs/>
                <w:color w:val="000000"/>
              </w:rPr>
            </w:pPr>
            <w:r>
              <w:rPr>
                <w:rFonts w:ascii="Calibri" w:hAnsi="Calibri"/>
                <w:b/>
                <w:bCs/>
                <w:color w:val="000000"/>
              </w:rPr>
              <w:t>Household Food Insecurity Access Scale (HFIAS)</w:t>
            </w:r>
          </w:p>
        </w:tc>
        <w:tc>
          <w:tcPr>
            <w:tcW w:w="4022" w:type="dxa"/>
            <w:shd w:val="clear" w:color="auto" w:fill="auto"/>
          </w:tcPr>
          <w:p w14:paraId="630E2034" w14:textId="77777777" w:rsidR="00B879A2" w:rsidRPr="005F7FD8" w:rsidRDefault="00B879A2" w:rsidP="00A97F83">
            <w:pPr>
              <w:rPr>
                <w:rFonts w:ascii="Calibri" w:hAnsi="Calibri"/>
                <w:color w:val="000000"/>
                <w:bdr w:val="none" w:sz="0" w:space="0" w:color="auto" w:frame="1"/>
              </w:rPr>
            </w:pPr>
            <w:r>
              <w:rPr>
                <w:rFonts w:ascii="Calibri" w:hAnsi="Calibri"/>
                <w:color w:val="000000"/>
              </w:rPr>
              <w:t>“</w:t>
            </w:r>
            <w:r w:rsidRPr="005C0218">
              <w:rPr>
                <w:rFonts w:ascii="Calibri" w:hAnsi="Calibri"/>
                <w:color w:val="000000"/>
              </w:rPr>
              <w:t xml:space="preserve">The Household Food Insecurity Access Scale (HFIAS) provides a simple and user-friendly approach for measuring the impacts of development food aid programs on the </w:t>
            </w:r>
            <w:r w:rsidRPr="004202B4">
              <w:rPr>
                <w:rFonts w:ascii="Calibri" w:hAnsi="Calibri"/>
                <w:b/>
                <w:bCs/>
                <w:color w:val="000000"/>
              </w:rPr>
              <w:t>access</w:t>
            </w:r>
            <w:r w:rsidRPr="005C0218">
              <w:rPr>
                <w:rFonts w:ascii="Calibri" w:hAnsi="Calibri"/>
                <w:color w:val="000000"/>
              </w:rPr>
              <w:t xml:space="preserve"> component of household food insecurity. The guide includes a standardized questionnaire and data collection and analysis instructions. The HFIAS is composed of a set of nine questions that have been used in several countries and appear to distinguish food insecure from food secure households across different cultural contexts. The information generated by the HFIAS can be used to assess the prevalence of household food insecurity (access component) and to detect changes in the food insecurity situation of a population over time.</w:t>
            </w:r>
            <w:r>
              <w:rPr>
                <w:rFonts w:ascii="Calibri" w:hAnsi="Calibri"/>
                <w:color w:val="000000"/>
              </w:rPr>
              <w:t>”</w:t>
            </w:r>
          </w:p>
        </w:tc>
        <w:tc>
          <w:tcPr>
            <w:tcW w:w="2869" w:type="dxa"/>
            <w:shd w:val="clear" w:color="auto" w:fill="auto"/>
          </w:tcPr>
          <w:p w14:paraId="2FF65A4F" w14:textId="06451E6A" w:rsidR="00B879A2" w:rsidRDefault="00C77ED3" w:rsidP="00A97F83">
            <w:pPr>
              <w:rPr>
                <w:rFonts w:ascii="Calibri" w:hAnsi="Calibri"/>
                <w:color w:val="000000"/>
              </w:rPr>
            </w:pPr>
            <w:r>
              <w:rPr>
                <w:rFonts w:ascii="Calibri" w:hAnsi="Calibri"/>
                <w:color w:val="000000"/>
              </w:rPr>
              <w:t xml:space="preserve">There are </w:t>
            </w:r>
            <w:r w:rsidR="00A14AA3">
              <w:rPr>
                <w:rFonts w:ascii="Calibri" w:hAnsi="Calibri"/>
                <w:color w:val="000000"/>
              </w:rPr>
              <w:t>nine</w:t>
            </w:r>
            <w:r w:rsidR="00B879A2">
              <w:rPr>
                <w:rFonts w:ascii="Calibri" w:hAnsi="Calibri"/>
                <w:color w:val="000000"/>
              </w:rPr>
              <w:t xml:space="preserve"> main questions with </w:t>
            </w:r>
            <w:r w:rsidR="00A14AA3">
              <w:rPr>
                <w:rFonts w:ascii="Calibri" w:hAnsi="Calibri"/>
                <w:color w:val="000000"/>
              </w:rPr>
              <w:t>nine</w:t>
            </w:r>
            <w:r w:rsidR="00B879A2">
              <w:rPr>
                <w:rFonts w:ascii="Calibri" w:hAnsi="Calibri"/>
                <w:color w:val="000000"/>
              </w:rPr>
              <w:t xml:space="preserve"> sub-questions about how often the main question was true (if applicable)</w:t>
            </w:r>
          </w:p>
          <w:p w14:paraId="18F3665D" w14:textId="77777777" w:rsidR="00B879A2" w:rsidRDefault="00B879A2" w:rsidP="00A97F83">
            <w:pPr>
              <w:rPr>
                <w:rFonts w:ascii="Calibri" w:hAnsi="Calibri"/>
                <w:color w:val="000000"/>
              </w:rPr>
            </w:pPr>
          </w:p>
          <w:p w14:paraId="4CAAB335" w14:textId="24AC78B0" w:rsidR="00B879A2" w:rsidRPr="005F7FD8" w:rsidRDefault="00B879A2" w:rsidP="004B14D1">
            <w:pPr>
              <w:rPr>
                <w:rFonts w:ascii="Calibri" w:hAnsi="Calibri"/>
                <w:color w:val="000000"/>
              </w:rPr>
            </w:pPr>
            <w:r>
              <w:rPr>
                <w:rFonts w:ascii="Calibri" w:hAnsi="Calibri"/>
                <w:color w:val="000000"/>
              </w:rPr>
              <w:t xml:space="preserve">This survey asks about the past </w:t>
            </w:r>
            <w:r w:rsidR="00A14AA3">
              <w:rPr>
                <w:rFonts w:ascii="Calibri" w:hAnsi="Calibri"/>
                <w:color w:val="000000"/>
              </w:rPr>
              <w:t>four</w:t>
            </w:r>
            <w:r>
              <w:rPr>
                <w:rFonts w:ascii="Calibri" w:hAnsi="Calibri"/>
                <w:color w:val="000000"/>
              </w:rPr>
              <w:t xml:space="preserve"> weeks (recall period of 30 days)</w:t>
            </w:r>
          </w:p>
        </w:tc>
        <w:tc>
          <w:tcPr>
            <w:tcW w:w="2647" w:type="dxa"/>
          </w:tcPr>
          <w:p w14:paraId="45CEC092" w14:textId="079EC9EA" w:rsidR="00C77ED3" w:rsidRPr="00E70B15" w:rsidRDefault="00C77ED3" w:rsidP="00A97F83">
            <w:pPr>
              <w:rPr>
                <w:szCs w:val="20"/>
                <w:lang w:bidi="ne-NP"/>
              </w:rPr>
            </w:pPr>
            <w:r w:rsidRPr="00E70B15">
              <w:rPr>
                <w:szCs w:val="20"/>
                <w:lang w:bidi="ne-NP"/>
              </w:rPr>
              <w:t xml:space="preserve">The </w:t>
            </w:r>
            <w:r w:rsidR="00A14AA3">
              <w:rPr>
                <w:szCs w:val="20"/>
                <w:lang w:bidi="ne-NP"/>
              </w:rPr>
              <w:t>nine</w:t>
            </w:r>
            <w:r w:rsidRPr="00E70B15">
              <w:rPr>
                <w:szCs w:val="20"/>
                <w:lang w:bidi="ne-NP"/>
              </w:rPr>
              <w:t xml:space="preserve"> indicators fall into the categories of:</w:t>
            </w:r>
          </w:p>
          <w:p w14:paraId="3C57B783" w14:textId="77777777" w:rsidR="00C77ED3" w:rsidRDefault="00C77ED3" w:rsidP="00C77ED3">
            <w:pPr>
              <w:rPr>
                <w:szCs w:val="20"/>
                <w:lang w:bidi="ne-NP"/>
              </w:rPr>
            </w:pPr>
            <w:r w:rsidRPr="00C77ED3">
              <w:rPr>
                <w:szCs w:val="20"/>
                <w:lang w:bidi="ne-NP"/>
              </w:rPr>
              <w:t xml:space="preserve">1. </w:t>
            </w:r>
            <w:r w:rsidR="00B879A2" w:rsidRPr="00C77ED3">
              <w:rPr>
                <w:szCs w:val="20"/>
                <w:lang w:bidi="ne-NP"/>
              </w:rPr>
              <w:t>Anxiety and uncertainty about the household food supply</w:t>
            </w:r>
          </w:p>
          <w:p w14:paraId="546F4BCE" w14:textId="0C2803B2" w:rsidR="00B879A2" w:rsidRPr="00C77ED3" w:rsidRDefault="00C77ED3" w:rsidP="00C77ED3">
            <w:pPr>
              <w:rPr>
                <w:szCs w:val="20"/>
                <w:lang w:bidi="ne-NP"/>
              </w:rPr>
            </w:pPr>
            <w:r w:rsidRPr="00C77ED3">
              <w:rPr>
                <w:szCs w:val="20"/>
                <w:lang w:bidi="ne-NP"/>
              </w:rPr>
              <w:t xml:space="preserve">2. </w:t>
            </w:r>
            <w:r w:rsidR="00B879A2" w:rsidRPr="00C77ED3">
              <w:rPr>
                <w:szCs w:val="20"/>
                <w:lang w:bidi="ne-NP"/>
              </w:rPr>
              <w:t>Insufficient Quality (includes variety and p</w:t>
            </w:r>
            <w:r w:rsidRPr="00C77ED3">
              <w:rPr>
                <w:szCs w:val="20"/>
                <w:lang w:bidi="ne-NP"/>
              </w:rPr>
              <w:t>references of the type of food)</w:t>
            </w:r>
          </w:p>
          <w:p w14:paraId="6B8E5468" w14:textId="77777777" w:rsidR="00340D66" w:rsidRDefault="00C77ED3" w:rsidP="00C77ED3">
            <w:pPr>
              <w:rPr>
                <w:szCs w:val="20"/>
                <w:lang w:bidi="ne-NP"/>
              </w:rPr>
            </w:pPr>
            <w:r w:rsidRPr="00C77ED3">
              <w:rPr>
                <w:szCs w:val="20"/>
                <w:lang w:bidi="ne-NP"/>
              </w:rPr>
              <w:t xml:space="preserve">3. </w:t>
            </w:r>
            <w:r w:rsidR="00B879A2" w:rsidRPr="00C77ED3">
              <w:rPr>
                <w:szCs w:val="20"/>
                <w:lang w:bidi="ne-NP"/>
              </w:rPr>
              <w:t>Insufficient food intak</w:t>
            </w:r>
            <w:r w:rsidRPr="00C77ED3">
              <w:rPr>
                <w:szCs w:val="20"/>
                <w:lang w:bidi="ne-NP"/>
              </w:rPr>
              <w:t>e and its physical consequences</w:t>
            </w:r>
          </w:p>
          <w:p w14:paraId="4E48FD5C" w14:textId="77777777" w:rsidR="00340D66" w:rsidRDefault="00340D66" w:rsidP="00C77ED3">
            <w:pPr>
              <w:rPr>
                <w:szCs w:val="20"/>
                <w:lang w:bidi="ne-NP"/>
              </w:rPr>
            </w:pPr>
          </w:p>
          <w:p w14:paraId="3F11A0C7" w14:textId="3446FAC2" w:rsidR="00340D66" w:rsidRPr="00340D66" w:rsidRDefault="00340D66" w:rsidP="00C77ED3">
            <w:pPr>
              <w:rPr>
                <w:szCs w:val="20"/>
                <w:lang w:bidi="ne-NP"/>
              </w:rPr>
            </w:pPr>
            <w:r>
              <w:rPr>
                <w:szCs w:val="20"/>
                <w:lang w:bidi="ne-NP"/>
              </w:rPr>
              <w:t xml:space="preserve">See the included link for more information about the indicators. </w:t>
            </w:r>
          </w:p>
        </w:tc>
        <w:tc>
          <w:tcPr>
            <w:tcW w:w="2647" w:type="dxa"/>
          </w:tcPr>
          <w:p w14:paraId="2251C23E" w14:textId="77777777" w:rsidR="00B879A2" w:rsidRPr="005F7FD8" w:rsidRDefault="009F311F" w:rsidP="00A97F83">
            <w:hyperlink r:id="rId35" w:history="1">
              <w:r w:rsidR="00B879A2" w:rsidRPr="009D3A79">
                <w:rPr>
                  <w:rStyle w:val="Hyperlink"/>
                </w:rPr>
                <w:t>http://www.fantaproject.org/monitoring-and-evaluation/household-food-insecurity-access-scale-hfias</w:t>
              </w:r>
            </w:hyperlink>
            <w:r w:rsidR="00B879A2">
              <w:t xml:space="preserve"> </w:t>
            </w:r>
          </w:p>
        </w:tc>
      </w:tr>
      <w:tr w:rsidR="00B879A2" w14:paraId="2CEBA09C" w14:textId="77777777" w:rsidTr="001A06C1">
        <w:tc>
          <w:tcPr>
            <w:tcW w:w="1495" w:type="dxa"/>
            <w:shd w:val="clear" w:color="auto" w:fill="auto"/>
          </w:tcPr>
          <w:p w14:paraId="46D25400" w14:textId="27BE7B68" w:rsidR="00B879A2" w:rsidRPr="005F7FD8" w:rsidRDefault="00B879A2" w:rsidP="00A97F83">
            <w:pPr>
              <w:rPr>
                <w:rFonts w:ascii="Calibri" w:hAnsi="Calibri"/>
                <w:b/>
                <w:bCs/>
                <w:color w:val="000000"/>
              </w:rPr>
            </w:pPr>
            <w:r>
              <w:rPr>
                <w:rFonts w:ascii="Calibri" w:hAnsi="Calibri"/>
                <w:b/>
                <w:bCs/>
                <w:color w:val="000000"/>
              </w:rPr>
              <w:t>Household Hunger Scale (HHS)</w:t>
            </w:r>
          </w:p>
        </w:tc>
        <w:tc>
          <w:tcPr>
            <w:tcW w:w="4022" w:type="dxa"/>
            <w:shd w:val="clear" w:color="auto" w:fill="auto"/>
          </w:tcPr>
          <w:p w14:paraId="0DED6D81" w14:textId="77777777" w:rsidR="00B879A2" w:rsidRPr="005F7FD8" w:rsidRDefault="00B879A2" w:rsidP="00A97F83">
            <w:pPr>
              <w:rPr>
                <w:rFonts w:ascii="Calibri" w:hAnsi="Calibri"/>
                <w:color w:val="000000"/>
              </w:rPr>
            </w:pPr>
            <w:r>
              <w:rPr>
                <w:rFonts w:ascii="Calibri" w:hAnsi="Calibri"/>
                <w:color w:val="000000"/>
              </w:rPr>
              <w:t>“</w:t>
            </w:r>
            <w:r w:rsidRPr="00641D2C">
              <w:rPr>
                <w:rFonts w:ascii="Calibri" w:hAnsi="Calibri"/>
                <w:color w:val="000000"/>
              </w:rPr>
              <w:t>This document provides operational guidance</w:t>
            </w:r>
            <w:r>
              <w:rPr>
                <w:rFonts w:ascii="Calibri" w:hAnsi="Calibri"/>
                <w:color w:val="000000"/>
              </w:rPr>
              <w:t xml:space="preserve"> </w:t>
            </w:r>
            <w:r w:rsidRPr="00641D2C">
              <w:rPr>
                <w:rFonts w:ascii="Calibri" w:hAnsi="Calibri"/>
                <w:color w:val="000000"/>
              </w:rPr>
              <w:t>for collection and tabulation of the Household</w:t>
            </w:r>
            <w:r>
              <w:rPr>
                <w:rFonts w:ascii="Calibri" w:hAnsi="Calibri"/>
                <w:color w:val="000000"/>
              </w:rPr>
              <w:t xml:space="preserve"> </w:t>
            </w:r>
            <w:r w:rsidRPr="00641D2C">
              <w:rPr>
                <w:rFonts w:ascii="Calibri" w:hAnsi="Calibri"/>
                <w:color w:val="000000"/>
              </w:rPr>
              <w:t>Hunger Scale (HHS)—a new, simple indicator</w:t>
            </w:r>
            <w:r>
              <w:rPr>
                <w:rFonts w:ascii="Calibri" w:hAnsi="Calibri"/>
                <w:color w:val="000000"/>
              </w:rPr>
              <w:t xml:space="preserve"> </w:t>
            </w:r>
            <w:r w:rsidRPr="00641D2C">
              <w:rPr>
                <w:rFonts w:ascii="Calibri" w:hAnsi="Calibri"/>
                <w:color w:val="000000"/>
              </w:rPr>
              <w:t>to measure household hunger in food</w:t>
            </w:r>
            <w:r>
              <w:rPr>
                <w:rFonts w:ascii="Calibri" w:hAnsi="Calibri"/>
                <w:color w:val="000000"/>
              </w:rPr>
              <w:t xml:space="preserve"> </w:t>
            </w:r>
            <w:r w:rsidRPr="00641D2C">
              <w:rPr>
                <w:rFonts w:ascii="Calibri" w:hAnsi="Calibri"/>
                <w:color w:val="000000"/>
              </w:rPr>
              <w:t>insecure</w:t>
            </w:r>
            <w:r>
              <w:rPr>
                <w:rFonts w:ascii="Calibri" w:hAnsi="Calibri"/>
                <w:color w:val="000000"/>
              </w:rPr>
              <w:t xml:space="preserve"> </w:t>
            </w:r>
            <w:r w:rsidRPr="00641D2C">
              <w:rPr>
                <w:rFonts w:ascii="Calibri" w:hAnsi="Calibri"/>
                <w:color w:val="000000"/>
              </w:rPr>
              <w:t>areas. The HHS is different from</w:t>
            </w:r>
            <w:r>
              <w:rPr>
                <w:rFonts w:ascii="Calibri" w:hAnsi="Calibri"/>
                <w:color w:val="000000"/>
              </w:rPr>
              <w:t xml:space="preserve"> </w:t>
            </w:r>
            <w:r w:rsidRPr="00641D2C">
              <w:rPr>
                <w:rFonts w:ascii="Calibri" w:hAnsi="Calibri"/>
                <w:color w:val="000000"/>
              </w:rPr>
              <w:t>other household food insecurity indicators</w:t>
            </w:r>
            <w:r>
              <w:rPr>
                <w:rFonts w:ascii="Calibri" w:hAnsi="Calibri"/>
                <w:color w:val="000000"/>
              </w:rPr>
              <w:t xml:space="preserve"> </w:t>
            </w:r>
            <w:r w:rsidRPr="00641D2C">
              <w:rPr>
                <w:rFonts w:ascii="Calibri" w:hAnsi="Calibri"/>
                <w:color w:val="000000"/>
              </w:rPr>
              <w:t>in that it has been specifically developed and</w:t>
            </w:r>
            <w:r>
              <w:rPr>
                <w:rFonts w:ascii="Calibri" w:hAnsi="Calibri"/>
                <w:color w:val="000000"/>
              </w:rPr>
              <w:t xml:space="preserve"> </w:t>
            </w:r>
            <w:r w:rsidRPr="00641D2C">
              <w:rPr>
                <w:rFonts w:ascii="Calibri" w:hAnsi="Calibri"/>
                <w:color w:val="000000"/>
              </w:rPr>
              <w:t>va</w:t>
            </w:r>
            <w:r>
              <w:rPr>
                <w:rFonts w:ascii="Calibri" w:hAnsi="Calibri"/>
                <w:color w:val="000000"/>
              </w:rPr>
              <w:t>lidated for cross-cultural use.</w:t>
            </w:r>
            <w:r w:rsidRPr="00641D2C">
              <w:rPr>
                <w:rFonts w:ascii="Calibri" w:hAnsi="Calibri"/>
                <w:color w:val="000000"/>
              </w:rPr>
              <w:t xml:space="preserve"> This means</w:t>
            </w:r>
            <w:r>
              <w:rPr>
                <w:rFonts w:ascii="Calibri" w:hAnsi="Calibri"/>
                <w:color w:val="000000"/>
              </w:rPr>
              <w:t xml:space="preserve"> </w:t>
            </w:r>
            <w:r w:rsidRPr="00641D2C">
              <w:rPr>
                <w:rFonts w:ascii="Calibri" w:hAnsi="Calibri"/>
                <w:color w:val="000000"/>
              </w:rPr>
              <w:t>that the HHS produces valid and comparable</w:t>
            </w:r>
            <w:r>
              <w:rPr>
                <w:rFonts w:ascii="Calibri" w:hAnsi="Calibri"/>
                <w:color w:val="000000"/>
              </w:rPr>
              <w:t xml:space="preserve"> </w:t>
            </w:r>
            <w:r w:rsidRPr="00641D2C">
              <w:rPr>
                <w:rFonts w:ascii="Calibri" w:hAnsi="Calibri"/>
                <w:color w:val="000000"/>
              </w:rPr>
              <w:t>results across cultures and settings so that</w:t>
            </w:r>
            <w:r>
              <w:rPr>
                <w:rFonts w:ascii="Calibri" w:hAnsi="Calibri"/>
                <w:color w:val="000000"/>
              </w:rPr>
              <w:t xml:space="preserve"> </w:t>
            </w:r>
            <w:r w:rsidRPr="00641D2C">
              <w:rPr>
                <w:rFonts w:ascii="Calibri" w:hAnsi="Calibri"/>
                <w:color w:val="000000"/>
              </w:rPr>
              <w:t>the status of different population groups can</w:t>
            </w:r>
            <w:r>
              <w:rPr>
                <w:rFonts w:ascii="Calibri" w:hAnsi="Calibri"/>
                <w:color w:val="000000"/>
              </w:rPr>
              <w:t xml:space="preserve"> </w:t>
            </w:r>
            <w:r w:rsidRPr="00641D2C">
              <w:rPr>
                <w:rFonts w:ascii="Calibri" w:hAnsi="Calibri"/>
                <w:color w:val="000000"/>
              </w:rPr>
              <w:t>be described in a meaningful and comparable</w:t>
            </w:r>
            <w:r>
              <w:rPr>
                <w:rFonts w:ascii="Calibri" w:hAnsi="Calibri"/>
                <w:color w:val="000000"/>
              </w:rPr>
              <w:t xml:space="preserve"> </w:t>
            </w:r>
            <w:r w:rsidRPr="00641D2C">
              <w:rPr>
                <w:rFonts w:ascii="Calibri" w:hAnsi="Calibri"/>
                <w:color w:val="000000"/>
              </w:rPr>
              <w:t>way—to assess where resources and</w:t>
            </w:r>
            <w:r>
              <w:rPr>
                <w:rFonts w:ascii="Calibri" w:hAnsi="Calibri"/>
                <w:color w:val="000000"/>
              </w:rPr>
              <w:t xml:space="preserve"> </w:t>
            </w:r>
            <w:r w:rsidRPr="00641D2C">
              <w:rPr>
                <w:rFonts w:ascii="Calibri" w:hAnsi="Calibri"/>
                <w:color w:val="000000"/>
              </w:rPr>
              <w:t>programmatic interventions are needed and to</w:t>
            </w:r>
            <w:r>
              <w:rPr>
                <w:rFonts w:ascii="Calibri" w:hAnsi="Calibri"/>
                <w:color w:val="000000"/>
              </w:rPr>
              <w:t xml:space="preserve"> </w:t>
            </w:r>
            <w:r w:rsidRPr="00641D2C">
              <w:rPr>
                <w:rFonts w:ascii="Calibri" w:hAnsi="Calibri"/>
                <w:color w:val="000000"/>
              </w:rPr>
              <w:t>design, implement, monitor, and evaluate policy</w:t>
            </w:r>
            <w:r>
              <w:rPr>
                <w:rFonts w:ascii="Calibri" w:hAnsi="Calibri"/>
                <w:color w:val="000000"/>
              </w:rPr>
              <w:t xml:space="preserve"> </w:t>
            </w:r>
            <w:r w:rsidRPr="00641D2C">
              <w:rPr>
                <w:rFonts w:ascii="Calibri" w:hAnsi="Calibri"/>
                <w:color w:val="000000"/>
              </w:rPr>
              <w:t>and programmatic interventions.</w:t>
            </w:r>
            <w:r>
              <w:rPr>
                <w:rFonts w:ascii="Calibri" w:hAnsi="Calibri"/>
                <w:color w:val="000000"/>
              </w:rPr>
              <w:t>”</w:t>
            </w:r>
          </w:p>
        </w:tc>
        <w:tc>
          <w:tcPr>
            <w:tcW w:w="2869" w:type="dxa"/>
            <w:shd w:val="clear" w:color="auto" w:fill="auto"/>
          </w:tcPr>
          <w:p w14:paraId="688E97BF" w14:textId="778377DA" w:rsidR="00B879A2" w:rsidRDefault="00340D66" w:rsidP="00A97F83">
            <w:r>
              <w:rPr>
                <w:rFonts w:ascii="Calibri" w:hAnsi="Calibri"/>
                <w:color w:val="000000"/>
              </w:rPr>
              <w:t>Users should also be familiar with the HFIAS.</w:t>
            </w:r>
          </w:p>
          <w:p w14:paraId="325EF7A2" w14:textId="77777777" w:rsidR="00E70B15" w:rsidRDefault="00E70B15" w:rsidP="00A97F83"/>
          <w:p w14:paraId="416068D5" w14:textId="2818D3C9" w:rsidR="00E70B15" w:rsidRPr="005F7FD8" w:rsidRDefault="00E70B15" w:rsidP="00E70B15">
            <w:pPr>
              <w:rPr>
                <w:rFonts w:ascii="Calibri" w:hAnsi="Calibri"/>
                <w:color w:val="000000"/>
              </w:rPr>
            </w:pPr>
            <w:r>
              <w:t>The HHS asks three yes/no questions with three sub-questions about how often the main question was true (if applicable)</w:t>
            </w:r>
          </w:p>
          <w:p w14:paraId="2298BE1B" w14:textId="77777777" w:rsidR="00B879A2" w:rsidRDefault="00B879A2" w:rsidP="00A97F83">
            <w:pPr>
              <w:rPr>
                <w:rFonts w:ascii="Calibri" w:hAnsi="Calibri"/>
                <w:color w:val="000000"/>
              </w:rPr>
            </w:pPr>
          </w:p>
          <w:p w14:paraId="07FDB73D" w14:textId="71B4BE8B" w:rsidR="00E70B15" w:rsidRPr="005F7FD8" w:rsidRDefault="00E70B15" w:rsidP="00A97F83">
            <w:pPr>
              <w:rPr>
                <w:rFonts w:ascii="Calibri" w:hAnsi="Calibri"/>
                <w:color w:val="000000"/>
              </w:rPr>
            </w:pPr>
            <w:r>
              <w:rPr>
                <w:rFonts w:ascii="Calibri" w:hAnsi="Calibri"/>
                <w:color w:val="000000"/>
              </w:rPr>
              <w:t xml:space="preserve">This survey asks about the past </w:t>
            </w:r>
            <w:r w:rsidR="00A14AA3">
              <w:rPr>
                <w:rFonts w:ascii="Calibri" w:hAnsi="Calibri"/>
                <w:color w:val="000000"/>
              </w:rPr>
              <w:t>four</w:t>
            </w:r>
            <w:r>
              <w:rPr>
                <w:rFonts w:ascii="Calibri" w:hAnsi="Calibri"/>
                <w:color w:val="000000"/>
              </w:rPr>
              <w:t xml:space="preserve"> weeks (recall period of 30 days)</w:t>
            </w:r>
          </w:p>
        </w:tc>
        <w:tc>
          <w:tcPr>
            <w:tcW w:w="2647" w:type="dxa"/>
          </w:tcPr>
          <w:p w14:paraId="28A7AA7B" w14:textId="77777777" w:rsidR="00B879A2" w:rsidRDefault="00B879A2" w:rsidP="00A97F83">
            <w:r>
              <w:t>% of households with moderate or severe hunger (HHS)</w:t>
            </w:r>
          </w:p>
          <w:p w14:paraId="4343EBF4" w14:textId="77777777" w:rsidR="00340D66" w:rsidRDefault="00340D66" w:rsidP="00A97F83"/>
          <w:p w14:paraId="2B6B563C" w14:textId="160761FE" w:rsidR="00340D66" w:rsidRPr="005B6A3A" w:rsidRDefault="00340D66" w:rsidP="00A97F83">
            <w:pPr>
              <w:rPr>
                <w:szCs w:val="20"/>
                <w:lang w:bidi="ne-NP"/>
              </w:rPr>
            </w:pPr>
            <w:r>
              <w:rPr>
                <w:szCs w:val="20"/>
                <w:lang w:bidi="ne-NP"/>
              </w:rPr>
              <w:t>See the included link for more information about the indicators.</w:t>
            </w:r>
          </w:p>
        </w:tc>
        <w:tc>
          <w:tcPr>
            <w:tcW w:w="2647" w:type="dxa"/>
          </w:tcPr>
          <w:p w14:paraId="4FD802AE" w14:textId="77777777" w:rsidR="00B879A2" w:rsidRPr="005F7FD8" w:rsidRDefault="009F311F" w:rsidP="00A97F83">
            <w:hyperlink r:id="rId36" w:history="1">
              <w:r w:rsidR="00B879A2" w:rsidRPr="00726D9A">
                <w:rPr>
                  <w:rStyle w:val="Hyperlink"/>
                </w:rPr>
                <w:t>http://www.fantaproject.org/sites/default/files/resources/HHS-Indicator-Guide-Aug2011.pdf</w:t>
              </w:r>
            </w:hyperlink>
            <w:r w:rsidR="00B879A2">
              <w:t xml:space="preserve"> </w:t>
            </w:r>
          </w:p>
        </w:tc>
      </w:tr>
      <w:tr w:rsidR="00B879A2" w14:paraId="53B1C8B0" w14:textId="77777777" w:rsidTr="001A06C1">
        <w:tc>
          <w:tcPr>
            <w:tcW w:w="1495" w:type="dxa"/>
            <w:shd w:val="clear" w:color="auto" w:fill="auto"/>
          </w:tcPr>
          <w:p w14:paraId="667D3A84" w14:textId="77777777" w:rsidR="00B879A2" w:rsidRPr="005F7FD8" w:rsidRDefault="00B879A2" w:rsidP="00A97F83">
            <w:pPr>
              <w:rPr>
                <w:rFonts w:ascii="Calibri" w:hAnsi="Calibri"/>
                <w:b/>
                <w:bCs/>
                <w:color w:val="000000"/>
              </w:rPr>
            </w:pPr>
            <w:r>
              <w:rPr>
                <w:rFonts w:ascii="Calibri" w:hAnsi="Calibri"/>
                <w:b/>
                <w:bCs/>
                <w:color w:val="000000"/>
              </w:rPr>
              <w:t>Infant and Young Child Feeding Practices (IYCFP)</w:t>
            </w:r>
          </w:p>
        </w:tc>
        <w:tc>
          <w:tcPr>
            <w:tcW w:w="4022" w:type="dxa"/>
            <w:shd w:val="clear" w:color="auto" w:fill="auto"/>
          </w:tcPr>
          <w:p w14:paraId="6D3ABC7B" w14:textId="77777777" w:rsidR="00B879A2" w:rsidRPr="005F7FD8" w:rsidRDefault="00B879A2" w:rsidP="00A97F83">
            <w:pPr>
              <w:rPr>
                <w:rFonts w:ascii="Calibri" w:hAnsi="Calibri"/>
                <w:color w:val="000000"/>
              </w:rPr>
            </w:pPr>
            <w:r>
              <w:rPr>
                <w:rFonts w:ascii="Calibri" w:hAnsi="Calibri"/>
                <w:color w:val="000000"/>
              </w:rPr>
              <w:t>These 15 indicators are “the culmination of a</w:t>
            </w:r>
            <w:r w:rsidRPr="0098473C">
              <w:rPr>
                <w:rFonts w:ascii="Calibri" w:hAnsi="Calibri"/>
                <w:color w:val="000000"/>
              </w:rPr>
              <w:t xml:space="preserve"> multi-year effort led by the World Health Organization (WHO) to develop and reach consensus on a set of simple, valid, and reliable indicators. They describe and provide guidance for collection of eight core and seven optional infant and young child feeding (IYCF) indicators that can be assessed in population-based surveys, including Demographic and Health Surveys (DHS); Multiple Indicator Cluster Surveys; and Knowledge, Practice, and Coverage Surveys.</w:t>
            </w:r>
            <w:r>
              <w:rPr>
                <w:rFonts w:ascii="Calibri" w:hAnsi="Calibri"/>
                <w:color w:val="000000"/>
              </w:rPr>
              <w:t>”</w:t>
            </w:r>
          </w:p>
        </w:tc>
        <w:tc>
          <w:tcPr>
            <w:tcW w:w="2869" w:type="dxa"/>
            <w:shd w:val="clear" w:color="auto" w:fill="auto"/>
          </w:tcPr>
          <w:p w14:paraId="015DB56C" w14:textId="4BCC4D6B" w:rsidR="00B879A2" w:rsidRPr="0027781F" w:rsidRDefault="00340D66" w:rsidP="00A97F83">
            <w:r>
              <w:rPr>
                <w:rFonts w:ascii="Calibri" w:hAnsi="Calibri"/>
                <w:color w:val="000000"/>
              </w:rPr>
              <w:t xml:space="preserve">There are </w:t>
            </w:r>
            <w:r w:rsidR="00A14AA3">
              <w:rPr>
                <w:rFonts w:ascii="Calibri" w:hAnsi="Calibri"/>
                <w:color w:val="000000"/>
              </w:rPr>
              <w:t>eight</w:t>
            </w:r>
            <w:r w:rsidR="00B879A2">
              <w:rPr>
                <w:rFonts w:ascii="Calibri" w:hAnsi="Calibri"/>
                <w:color w:val="000000"/>
              </w:rPr>
              <w:t xml:space="preserve"> required and </w:t>
            </w:r>
            <w:r w:rsidR="00A14AA3">
              <w:rPr>
                <w:rFonts w:ascii="Calibri" w:hAnsi="Calibri"/>
                <w:color w:val="000000"/>
              </w:rPr>
              <w:t>seven</w:t>
            </w:r>
            <w:r w:rsidR="00B879A2">
              <w:rPr>
                <w:rFonts w:ascii="Calibri" w:hAnsi="Calibri"/>
                <w:color w:val="000000"/>
              </w:rPr>
              <w:t xml:space="preserve"> optional indicators </w:t>
            </w:r>
          </w:p>
        </w:tc>
        <w:tc>
          <w:tcPr>
            <w:tcW w:w="2647" w:type="dxa"/>
            <w:tcMar>
              <w:left w:w="72" w:type="dxa"/>
              <w:right w:w="72" w:type="dxa"/>
            </w:tcMar>
          </w:tcPr>
          <w:p w14:paraId="7A716200" w14:textId="70736570" w:rsidR="00B879A2" w:rsidRPr="005F7FD8" w:rsidRDefault="00340D66" w:rsidP="00A97F83">
            <w:r>
              <w:rPr>
                <w:szCs w:val="20"/>
                <w:lang w:bidi="ne-NP"/>
              </w:rPr>
              <w:t>See the included link for more information about the indicators.</w:t>
            </w:r>
          </w:p>
        </w:tc>
        <w:tc>
          <w:tcPr>
            <w:tcW w:w="2647" w:type="dxa"/>
          </w:tcPr>
          <w:p w14:paraId="6AC99DA6" w14:textId="77777777" w:rsidR="00B879A2" w:rsidRPr="005F7FD8" w:rsidRDefault="009F311F" w:rsidP="00A97F83">
            <w:hyperlink r:id="rId37" w:history="1">
              <w:r w:rsidR="00B879A2" w:rsidRPr="00726D9A">
                <w:rPr>
                  <w:rStyle w:val="Hyperlink"/>
                </w:rPr>
                <w:t>http://www.fantaproject.org/monitoring-and-evaluation/iycf-indicators</w:t>
              </w:r>
            </w:hyperlink>
            <w:r w:rsidR="00B879A2">
              <w:t xml:space="preserve">  </w:t>
            </w:r>
          </w:p>
        </w:tc>
      </w:tr>
      <w:tr w:rsidR="00B879A2" w14:paraId="40B8AB59" w14:textId="77777777" w:rsidTr="001A06C1">
        <w:tc>
          <w:tcPr>
            <w:tcW w:w="1495" w:type="dxa"/>
            <w:shd w:val="clear" w:color="auto" w:fill="auto"/>
          </w:tcPr>
          <w:p w14:paraId="666CEA9E" w14:textId="77777777" w:rsidR="00B879A2" w:rsidRPr="005F7FD8" w:rsidRDefault="00B879A2" w:rsidP="00A97F83">
            <w:pPr>
              <w:rPr>
                <w:rFonts w:ascii="Calibri" w:hAnsi="Calibri"/>
                <w:b/>
                <w:bCs/>
                <w:color w:val="000000"/>
              </w:rPr>
            </w:pPr>
            <w:r w:rsidRPr="005F7FD8">
              <w:rPr>
                <w:rFonts w:ascii="Calibri" w:hAnsi="Calibri"/>
                <w:b/>
                <w:bCs/>
                <w:color w:val="000000"/>
              </w:rPr>
              <w:t>Maln</w:t>
            </w:r>
            <w:r>
              <w:rPr>
                <w:rFonts w:ascii="Calibri" w:hAnsi="Calibri"/>
                <w:b/>
                <w:bCs/>
                <w:color w:val="000000"/>
              </w:rPr>
              <w:t>utrition</w:t>
            </w:r>
          </w:p>
        </w:tc>
        <w:tc>
          <w:tcPr>
            <w:tcW w:w="4022" w:type="dxa"/>
            <w:shd w:val="clear" w:color="auto" w:fill="auto"/>
          </w:tcPr>
          <w:p w14:paraId="7B7191B3" w14:textId="77777777" w:rsidR="00B879A2" w:rsidRPr="005F7FD8" w:rsidRDefault="00B879A2" w:rsidP="00A97F83">
            <w:pPr>
              <w:rPr>
                <w:rFonts w:ascii="Calibri" w:hAnsi="Calibri"/>
                <w:color w:val="000000"/>
              </w:rPr>
            </w:pPr>
            <w:r>
              <w:rPr>
                <w:rFonts w:ascii="Calibri" w:hAnsi="Calibri"/>
                <w:color w:val="000000"/>
              </w:rPr>
              <w:t>“</w:t>
            </w:r>
            <w:r w:rsidRPr="00771E4E">
              <w:rPr>
                <w:rFonts w:ascii="Calibri" w:hAnsi="Calibri"/>
                <w:color w:val="000000"/>
              </w:rPr>
              <w:t>Malnutrition is a broad term commonly used as an alternative to undernutrition but technically it also refers to overnutrition. People are malnourished if their diet does not provide adequate calories and protein for growth and maintenance or they are unable to fully utilize the food they eat due to illness (undernutrition). They are also malnourished if they consume too many calories (overnutrition).</w:t>
            </w:r>
            <w:r>
              <w:rPr>
                <w:rFonts w:ascii="Calibri" w:hAnsi="Calibri"/>
                <w:color w:val="000000"/>
              </w:rPr>
              <w:t>”</w:t>
            </w:r>
          </w:p>
        </w:tc>
        <w:tc>
          <w:tcPr>
            <w:tcW w:w="2869" w:type="dxa"/>
            <w:shd w:val="clear" w:color="auto" w:fill="auto"/>
          </w:tcPr>
          <w:p w14:paraId="4EEF8C38" w14:textId="77777777" w:rsidR="00B879A2" w:rsidRDefault="00B879A2" w:rsidP="00A97F83">
            <w:pPr>
              <w:rPr>
                <w:rFonts w:ascii="Calibri" w:hAnsi="Calibri"/>
                <w:color w:val="000000"/>
              </w:rPr>
            </w:pPr>
            <w:r>
              <w:rPr>
                <w:rFonts w:ascii="Calibri" w:hAnsi="Calibri"/>
                <w:color w:val="000000"/>
              </w:rPr>
              <w:t>There are degrees of malnutrition:</w:t>
            </w:r>
          </w:p>
          <w:p w14:paraId="56E3147D" w14:textId="77777777" w:rsidR="00B879A2" w:rsidRDefault="00B879A2" w:rsidP="00A97F83">
            <w:pPr>
              <w:rPr>
                <w:rFonts w:ascii="Calibri" w:hAnsi="Calibri"/>
                <w:color w:val="000000"/>
              </w:rPr>
            </w:pPr>
          </w:p>
          <w:p w14:paraId="6095D893" w14:textId="77777777" w:rsidR="00B879A2" w:rsidRPr="00CC4DAF" w:rsidRDefault="00B879A2" w:rsidP="00A97F83">
            <w:pPr>
              <w:rPr>
                <w:rFonts w:ascii="Calibri" w:hAnsi="Calibri"/>
                <w:color w:val="000000"/>
              </w:rPr>
            </w:pPr>
            <w:r w:rsidRPr="00CC4DAF">
              <w:rPr>
                <w:rFonts w:ascii="Calibri" w:hAnsi="Calibri"/>
                <w:color w:val="000000"/>
              </w:rPr>
              <w:t>Moderate acute malnutrition (MAM)</w:t>
            </w:r>
          </w:p>
          <w:p w14:paraId="6FA25F15" w14:textId="77777777" w:rsidR="00B879A2" w:rsidRDefault="00B879A2" w:rsidP="00A97F83">
            <w:pPr>
              <w:rPr>
                <w:rFonts w:ascii="Calibri" w:hAnsi="Calibri"/>
                <w:color w:val="000000"/>
              </w:rPr>
            </w:pPr>
          </w:p>
          <w:p w14:paraId="4326A71C" w14:textId="77777777" w:rsidR="00B879A2" w:rsidRPr="00CC4DAF" w:rsidRDefault="00B879A2" w:rsidP="00091373">
            <w:pPr>
              <w:rPr>
                <w:rFonts w:ascii="Calibri" w:hAnsi="Calibri"/>
                <w:color w:val="000000"/>
              </w:rPr>
            </w:pPr>
            <w:r w:rsidRPr="00CC4DAF">
              <w:rPr>
                <w:rFonts w:ascii="Calibri" w:hAnsi="Calibri"/>
                <w:color w:val="000000"/>
              </w:rPr>
              <w:t>Severe acute malnutrition (SAM)</w:t>
            </w:r>
          </w:p>
          <w:p w14:paraId="3CE5A807" w14:textId="77777777" w:rsidR="00B879A2" w:rsidRDefault="00B879A2" w:rsidP="00091373">
            <w:pPr>
              <w:rPr>
                <w:rFonts w:ascii="Calibri" w:hAnsi="Calibri"/>
                <w:color w:val="000000"/>
              </w:rPr>
            </w:pPr>
          </w:p>
          <w:p w14:paraId="516BD9A0" w14:textId="77777777" w:rsidR="00B879A2" w:rsidRPr="00091373" w:rsidRDefault="00B879A2" w:rsidP="00091373">
            <w:pPr>
              <w:rPr>
                <w:rFonts w:ascii="Calibri" w:hAnsi="Calibri"/>
                <w:color w:val="000000"/>
              </w:rPr>
            </w:pPr>
            <w:r>
              <w:rPr>
                <w:rFonts w:ascii="Calibri" w:hAnsi="Calibri"/>
                <w:color w:val="000000"/>
              </w:rPr>
              <w:t>Wasting is a measure of acute malnutrition</w:t>
            </w:r>
          </w:p>
        </w:tc>
        <w:tc>
          <w:tcPr>
            <w:tcW w:w="2647" w:type="dxa"/>
          </w:tcPr>
          <w:p w14:paraId="3188BB19" w14:textId="77C2DD35" w:rsidR="00B879A2" w:rsidRPr="005F7FD8" w:rsidRDefault="00B879A2" w:rsidP="00A97F83">
            <w:r>
              <w:t xml:space="preserve">Prevalence of wasted children under </w:t>
            </w:r>
            <w:r w:rsidR="00A14AA3">
              <w:t>5</w:t>
            </w:r>
            <w:r>
              <w:t xml:space="preserve"> years of age</w:t>
            </w:r>
          </w:p>
        </w:tc>
        <w:tc>
          <w:tcPr>
            <w:tcW w:w="2647" w:type="dxa"/>
          </w:tcPr>
          <w:p w14:paraId="657E7E1A" w14:textId="77777777" w:rsidR="00B879A2" w:rsidRPr="005F7FD8" w:rsidRDefault="009F311F" w:rsidP="00A97F83">
            <w:hyperlink r:id="rId38" w:history="1">
              <w:r w:rsidR="00B879A2" w:rsidRPr="00620F5B">
                <w:rPr>
                  <w:rStyle w:val="Hyperlink"/>
                </w:rPr>
                <w:t>http://www.unicef.org/progressforchildren/2006n4/malnutritiondefinition.html</w:t>
              </w:r>
            </w:hyperlink>
            <w:r w:rsidR="00B879A2">
              <w:t xml:space="preserve"> </w:t>
            </w:r>
          </w:p>
        </w:tc>
      </w:tr>
      <w:tr w:rsidR="00B879A2" w14:paraId="45FFDC53" w14:textId="77777777" w:rsidTr="001A06C1">
        <w:tc>
          <w:tcPr>
            <w:tcW w:w="1495" w:type="dxa"/>
            <w:shd w:val="clear" w:color="auto" w:fill="auto"/>
          </w:tcPr>
          <w:p w14:paraId="0792517F" w14:textId="77777777" w:rsidR="00B879A2" w:rsidRPr="005F7FD8" w:rsidRDefault="00B879A2" w:rsidP="00A97F83">
            <w:pPr>
              <w:rPr>
                <w:rFonts w:ascii="Calibri" w:hAnsi="Calibri"/>
                <w:b/>
                <w:bCs/>
                <w:color w:val="000000"/>
              </w:rPr>
            </w:pPr>
            <w:r>
              <w:rPr>
                <w:rFonts w:ascii="Calibri" w:hAnsi="Calibri"/>
                <w:b/>
                <w:color w:val="000000"/>
              </w:rPr>
              <w:t>Micro-nutrients</w:t>
            </w:r>
          </w:p>
        </w:tc>
        <w:tc>
          <w:tcPr>
            <w:tcW w:w="4022" w:type="dxa"/>
            <w:shd w:val="clear" w:color="auto" w:fill="auto"/>
          </w:tcPr>
          <w:p w14:paraId="134D38A6" w14:textId="77777777" w:rsidR="00B879A2" w:rsidRPr="00201C9E" w:rsidRDefault="00B879A2" w:rsidP="00A97F83">
            <w:pPr>
              <w:rPr>
                <w:rFonts w:ascii="Calibri" w:hAnsi="Calibri"/>
                <w:i/>
                <w:iCs/>
                <w:color w:val="000000"/>
              </w:rPr>
            </w:pPr>
            <w:r w:rsidRPr="00201C9E">
              <w:rPr>
                <w:rFonts w:ascii="Calibri" w:hAnsi="Calibri"/>
                <w:i/>
                <w:iCs/>
                <w:color w:val="000000"/>
              </w:rPr>
              <w:t>Several micronutrients are commonly measured for food security and health indicators. The sufficiency of these key micronutrients are measured particularly for children and women of reproductive age. Typically LWR will not use micronutrient indicators unless required by a donor.</w:t>
            </w:r>
          </w:p>
          <w:p w14:paraId="14830509" w14:textId="77777777" w:rsidR="00B879A2" w:rsidRDefault="00B879A2" w:rsidP="00A97F83">
            <w:pPr>
              <w:rPr>
                <w:rFonts w:ascii="Calibri" w:hAnsi="Calibri"/>
                <w:color w:val="000000"/>
              </w:rPr>
            </w:pPr>
          </w:p>
          <w:p w14:paraId="0164DDC0" w14:textId="09AD2435" w:rsidR="00B879A2" w:rsidRPr="00201C9E" w:rsidRDefault="00B879A2" w:rsidP="00CD422B">
            <w:pPr>
              <w:rPr>
                <w:rFonts w:ascii="Calibri" w:hAnsi="Calibri"/>
                <w:i/>
                <w:iCs/>
                <w:color w:val="000000"/>
              </w:rPr>
            </w:pPr>
            <w:r w:rsidRPr="00201C9E">
              <w:rPr>
                <w:rFonts w:ascii="Calibri" w:hAnsi="Calibri"/>
                <w:i/>
                <w:iCs/>
                <w:color w:val="000000"/>
              </w:rPr>
              <w:t>The most common micronutrients measured for are iron, zinc, vitamin A and iodine</w:t>
            </w:r>
            <w:r w:rsidR="00A14AA3">
              <w:rPr>
                <w:rFonts w:ascii="Calibri" w:hAnsi="Calibri"/>
                <w:i/>
                <w:iCs/>
                <w:color w:val="000000"/>
              </w:rPr>
              <w:t>.</w:t>
            </w:r>
          </w:p>
        </w:tc>
        <w:tc>
          <w:tcPr>
            <w:tcW w:w="2869" w:type="dxa"/>
            <w:shd w:val="clear" w:color="auto" w:fill="auto"/>
          </w:tcPr>
          <w:p w14:paraId="159BBA10" w14:textId="5252B2BC" w:rsidR="00B879A2" w:rsidRPr="00201C9E" w:rsidRDefault="00B879A2" w:rsidP="00201C9E">
            <w:pPr>
              <w:rPr>
                <w:rFonts w:ascii="Calibri" w:hAnsi="Calibri"/>
                <w:i/>
                <w:iCs/>
                <w:color w:val="000000"/>
              </w:rPr>
            </w:pPr>
            <w:r w:rsidRPr="00201C9E">
              <w:rPr>
                <w:rFonts w:ascii="Calibri" w:hAnsi="Calibri"/>
                <w:i/>
                <w:iCs/>
                <w:color w:val="000000"/>
              </w:rPr>
              <w:t xml:space="preserve">These indicators are measured through consumption, blood levels or supplement prevalence. </w:t>
            </w:r>
          </w:p>
        </w:tc>
        <w:tc>
          <w:tcPr>
            <w:tcW w:w="2647" w:type="dxa"/>
          </w:tcPr>
          <w:p w14:paraId="123DAAD8" w14:textId="77777777" w:rsidR="00B879A2" w:rsidRDefault="00B879A2" w:rsidP="00A97F83">
            <w:r>
              <w:t>Prevalence of vitamin A deficiency in the population</w:t>
            </w:r>
          </w:p>
          <w:p w14:paraId="62CFD3D5" w14:textId="77777777" w:rsidR="00B879A2" w:rsidRDefault="00B879A2" w:rsidP="00A97F83"/>
          <w:p w14:paraId="59FE6CC7" w14:textId="77777777" w:rsidR="00B879A2" w:rsidRDefault="00B879A2" w:rsidP="00A97F83">
            <w:r>
              <w:t>Prevalence of iodine deficiency in the population</w:t>
            </w:r>
          </w:p>
          <w:p w14:paraId="10A00116" w14:textId="77777777" w:rsidR="00B879A2" w:rsidRDefault="00B879A2" w:rsidP="00A97F83"/>
          <w:p w14:paraId="655666F5" w14:textId="77777777" w:rsidR="00B879A2" w:rsidRDefault="00B879A2" w:rsidP="00A97F83">
            <w:r>
              <w:t>% of mothers receiving iron-folate</w:t>
            </w:r>
          </w:p>
          <w:p w14:paraId="3EB8A729" w14:textId="77777777" w:rsidR="00B879A2" w:rsidRDefault="00B879A2" w:rsidP="00A97F83"/>
          <w:p w14:paraId="4CF1A7C9" w14:textId="77777777" w:rsidR="00B879A2" w:rsidRPr="005F7FD8" w:rsidRDefault="00B879A2" w:rsidP="00A97F83">
            <w:r>
              <w:t>% of children under age five receiving Vitamin A supplement in the past 6 months</w:t>
            </w:r>
          </w:p>
        </w:tc>
        <w:tc>
          <w:tcPr>
            <w:tcW w:w="2647" w:type="dxa"/>
          </w:tcPr>
          <w:p w14:paraId="330CB6D2" w14:textId="427B682A" w:rsidR="00B879A2" w:rsidRDefault="009F311F" w:rsidP="00A97F83">
            <w:hyperlink r:id="rId39" w:history="1">
              <w:r w:rsidR="00514334" w:rsidRPr="00812CE5">
                <w:rPr>
                  <w:rStyle w:val="Hyperlink"/>
                </w:rPr>
                <w:t>http://feedthefuture.gov/sites/default/files/resource/files/ftf_handbook_indicators_october2014.pdf</w:t>
              </w:r>
            </w:hyperlink>
          </w:p>
          <w:p w14:paraId="6DBEA654" w14:textId="1357F14C" w:rsidR="00514334" w:rsidRPr="005F7FD8" w:rsidRDefault="00514334" w:rsidP="00A97F83">
            <w:r>
              <w:t>pg. 103</w:t>
            </w:r>
          </w:p>
        </w:tc>
      </w:tr>
      <w:tr w:rsidR="00B879A2" w14:paraId="7B58CF6A" w14:textId="77777777" w:rsidTr="001A06C1">
        <w:tc>
          <w:tcPr>
            <w:tcW w:w="1495" w:type="dxa"/>
            <w:shd w:val="clear" w:color="auto" w:fill="auto"/>
          </w:tcPr>
          <w:p w14:paraId="03B44714" w14:textId="77777777" w:rsidR="00B879A2" w:rsidRPr="005F7FD8" w:rsidRDefault="00B879A2" w:rsidP="00A97F83">
            <w:pPr>
              <w:rPr>
                <w:rFonts w:ascii="Calibri" w:hAnsi="Calibri"/>
                <w:b/>
                <w:color w:val="000000"/>
              </w:rPr>
            </w:pPr>
            <w:r>
              <w:rPr>
                <w:rFonts w:ascii="Calibri" w:hAnsi="Calibri"/>
                <w:b/>
                <w:color w:val="000000"/>
              </w:rPr>
              <w:t>Minimum Acceptable Diet (MAD)</w:t>
            </w:r>
          </w:p>
        </w:tc>
        <w:tc>
          <w:tcPr>
            <w:tcW w:w="4022" w:type="dxa"/>
            <w:shd w:val="clear" w:color="auto" w:fill="auto"/>
          </w:tcPr>
          <w:p w14:paraId="36178576" w14:textId="499FB9F4" w:rsidR="00B879A2" w:rsidRDefault="00B879A2" w:rsidP="00A97F83">
            <w:r>
              <w:t xml:space="preserve">The “minimum acceptable diet” indicator measures both the minimum feeding frequency and minimum dietary diversity as appropriate for various age groups. </w:t>
            </w:r>
          </w:p>
          <w:p w14:paraId="3F67C660" w14:textId="77777777" w:rsidR="00B879A2" w:rsidRDefault="00B879A2" w:rsidP="00A97F83"/>
          <w:p w14:paraId="0B3227CC" w14:textId="17E1ED8D" w:rsidR="00B879A2" w:rsidRPr="005F7FD8" w:rsidRDefault="00B879A2" w:rsidP="00A97F83">
            <w:pPr>
              <w:rPr>
                <w:rFonts w:ascii="Calibri" w:hAnsi="Calibri"/>
                <w:color w:val="000000"/>
              </w:rPr>
            </w:pPr>
            <w:r>
              <w:t>While this indicator has a technical definition for children 6-23 months</w:t>
            </w:r>
            <w:r w:rsidR="00A14AA3">
              <w:t xml:space="preserve"> of age</w:t>
            </w:r>
            <w:r>
              <w:t xml:space="preserve">, it can be adapted for further age groups. </w:t>
            </w:r>
          </w:p>
        </w:tc>
        <w:tc>
          <w:tcPr>
            <w:tcW w:w="2869" w:type="dxa"/>
            <w:shd w:val="clear" w:color="auto" w:fill="auto"/>
          </w:tcPr>
          <w:p w14:paraId="1E2D6533" w14:textId="77777777" w:rsidR="00B879A2" w:rsidRDefault="00B879A2" w:rsidP="001E721B">
            <w:pPr>
              <w:rPr>
                <w:rFonts w:ascii="Calibri" w:hAnsi="Calibri"/>
                <w:color w:val="000000"/>
              </w:rPr>
            </w:pPr>
            <w:r>
              <w:rPr>
                <w:rFonts w:ascii="Calibri" w:hAnsi="Calibri"/>
                <w:color w:val="000000"/>
              </w:rPr>
              <w:t xml:space="preserve">Must define minimum acceptable diet based on context and age. </w:t>
            </w:r>
          </w:p>
          <w:p w14:paraId="4E900FD2" w14:textId="77777777" w:rsidR="00B879A2" w:rsidRDefault="00B879A2" w:rsidP="001E721B">
            <w:pPr>
              <w:rPr>
                <w:rFonts w:ascii="Calibri" w:hAnsi="Calibri"/>
                <w:color w:val="000000"/>
              </w:rPr>
            </w:pPr>
          </w:p>
          <w:p w14:paraId="07BBD145" w14:textId="77777777" w:rsidR="00B879A2" w:rsidRPr="005F7FD8" w:rsidRDefault="00B879A2" w:rsidP="00DF2442">
            <w:pPr>
              <w:rPr>
                <w:rFonts w:ascii="Calibri" w:hAnsi="Calibri"/>
                <w:color w:val="000000"/>
              </w:rPr>
            </w:pPr>
            <w:r>
              <w:rPr>
                <w:rFonts w:ascii="Calibri" w:hAnsi="Calibri"/>
                <w:color w:val="000000"/>
              </w:rPr>
              <w:t xml:space="preserve">The calculation of this indicator is defined on pg. 37 of: </w:t>
            </w:r>
            <w:hyperlink r:id="rId40" w:history="1">
              <w:r w:rsidRPr="00620F5B">
                <w:rPr>
                  <w:rStyle w:val="Hyperlink"/>
                  <w:rFonts w:ascii="Calibri" w:hAnsi="Calibri"/>
                </w:rPr>
                <w:t>http://apps.who.int/iris/bitstream/10665/44306/1/9789241599290_eng.pdf</w:t>
              </w:r>
            </w:hyperlink>
            <w:r>
              <w:rPr>
                <w:rFonts w:ascii="Calibri" w:hAnsi="Calibri"/>
                <w:color w:val="000000"/>
              </w:rPr>
              <w:t xml:space="preserve"> </w:t>
            </w:r>
          </w:p>
        </w:tc>
        <w:tc>
          <w:tcPr>
            <w:tcW w:w="2647" w:type="dxa"/>
          </w:tcPr>
          <w:p w14:paraId="4B57FFB5" w14:textId="77777777" w:rsidR="00B879A2" w:rsidRPr="005F7FD8" w:rsidRDefault="00B879A2" w:rsidP="00A97F83">
            <w:r>
              <w:t>% change prevalence of children 6-23 months receiving a minimum acceptable diet (MAD)</w:t>
            </w:r>
          </w:p>
        </w:tc>
        <w:tc>
          <w:tcPr>
            <w:tcW w:w="2647" w:type="dxa"/>
          </w:tcPr>
          <w:p w14:paraId="09F9B313" w14:textId="77777777" w:rsidR="00B879A2" w:rsidRDefault="009F311F" w:rsidP="00A97F83">
            <w:hyperlink r:id="rId41" w:history="1">
              <w:r w:rsidR="00B879A2" w:rsidRPr="00620F5B">
                <w:rPr>
                  <w:rStyle w:val="Hyperlink"/>
                </w:rPr>
                <w:t>http://feedthefuture.gov/sites/default/files/resource/files/ftf_handbook_indicators_october2014.pdf</w:t>
              </w:r>
            </w:hyperlink>
          </w:p>
          <w:p w14:paraId="4B579E18" w14:textId="77777777" w:rsidR="00B879A2" w:rsidRPr="005F7FD8" w:rsidRDefault="00B879A2" w:rsidP="00A97F83">
            <w:r>
              <w:t>pg. 24</w:t>
            </w:r>
          </w:p>
        </w:tc>
      </w:tr>
      <w:tr w:rsidR="00B879A2" w14:paraId="69136FBD" w14:textId="77777777" w:rsidTr="001A06C1">
        <w:tc>
          <w:tcPr>
            <w:tcW w:w="1495" w:type="dxa"/>
            <w:shd w:val="clear" w:color="auto" w:fill="auto"/>
          </w:tcPr>
          <w:p w14:paraId="191A0767" w14:textId="77777777" w:rsidR="00B879A2" w:rsidRPr="005F7FD8" w:rsidRDefault="00B879A2" w:rsidP="00A97F83">
            <w:pPr>
              <w:rPr>
                <w:rFonts w:ascii="Calibri" w:hAnsi="Calibri"/>
                <w:b/>
                <w:color w:val="000000"/>
              </w:rPr>
            </w:pPr>
            <w:r>
              <w:rPr>
                <w:rFonts w:ascii="Calibri" w:hAnsi="Calibri"/>
                <w:b/>
                <w:bCs/>
                <w:color w:val="000000"/>
              </w:rPr>
              <w:t>Months of Adequate Household Food Provisioning (MAHFP)</w:t>
            </w:r>
          </w:p>
        </w:tc>
        <w:tc>
          <w:tcPr>
            <w:tcW w:w="4022" w:type="dxa"/>
            <w:shd w:val="clear" w:color="auto" w:fill="auto"/>
          </w:tcPr>
          <w:p w14:paraId="169AB17E" w14:textId="77777777" w:rsidR="00B879A2" w:rsidRPr="005F7FD8" w:rsidRDefault="00B879A2" w:rsidP="00A97F83">
            <w:pPr>
              <w:rPr>
                <w:rFonts w:ascii="Calibri" w:hAnsi="Calibri"/>
                <w:color w:val="000000"/>
              </w:rPr>
            </w:pPr>
            <w:r>
              <w:rPr>
                <w:rFonts w:ascii="Calibri" w:hAnsi="Calibri"/>
                <w:color w:val="000000"/>
              </w:rPr>
              <w:t>“</w:t>
            </w:r>
            <w:r w:rsidRPr="005C0218">
              <w:rPr>
                <w:rFonts w:ascii="Calibri" w:hAnsi="Calibri"/>
                <w:color w:val="000000"/>
              </w:rPr>
              <w:t xml:space="preserve">Household food </w:t>
            </w:r>
            <w:r w:rsidRPr="000450D5">
              <w:rPr>
                <w:rFonts w:ascii="Calibri" w:hAnsi="Calibri"/>
                <w:b/>
                <w:bCs/>
                <w:color w:val="000000"/>
              </w:rPr>
              <w:t>access</w:t>
            </w:r>
            <w:r w:rsidRPr="005C0218">
              <w:rPr>
                <w:rFonts w:ascii="Calibri" w:hAnsi="Calibri"/>
                <w:color w:val="000000"/>
              </w:rPr>
              <w:t xml:space="preserve"> is defined as the ability to acquire a sufficient quality and quantity of food to meet all household members’ nutritional requirements for productive lives. This guide provides an approach to measuring household food provisioning as a proxy measure of household food access. Over time, the MAHFP indicator can capture changes in the household’s ability to address vulnerability in such a way as to ensure that food is available above a minimum level year round. Measuring the MAHFP has the advantage of capturing the combined effects of a range of interventions and strategies, such as improved agricultural </w:t>
            </w:r>
            <w:r w:rsidRPr="0036088E">
              <w:rPr>
                <w:rFonts w:ascii="Calibri" w:hAnsi="Calibri"/>
                <w:b/>
                <w:bCs/>
                <w:color w:val="000000"/>
              </w:rPr>
              <w:t>production</w:t>
            </w:r>
            <w:r w:rsidRPr="005C0218">
              <w:rPr>
                <w:rFonts w:ascii="Calibri" w:hAnsi="Calibri"/>
                <w:color w:val="000000"/>
              </w:rPr>
              <w:t xml:space="preserve">, </w:t>
            </w:r>
            <w:r w:rsidRPr="0036088E">
              <w:rPr>
                <w:rFonts w:ascii="Calibri" w:hAnsi="Calibri"/>
                <w:b/>
                <w:bCs/>
                <w:color w:val="000000"/>
              </w:rPr>
              <w:t>storage</w:t>
            </w:r>
            <w:r w:rsidRPr="005C0218">
              <w:rPr>
                <w:rFonts w:ascii="Calibri" w:hAnsi="Calibri"/>
                <w:color w:val="000000"/>
              </w:rPr>
              <w:t xml:space="preserve">, and interventions that increase the household’s </w:t>
            </w:r>
            <w:r w:rsidRPr="0036088E">
              <w:rPr>
                <w:rFonts w:ascii="Calibri" w:hAnsi="Calibri"/>
                <w:b/>
                <w:bCs/>
                <w:color w:val="000000"/>
              </w:rPr>
              <w:t>purchasing power</w:t>
            </w:r>
            <w:r w:rsidRPr="005C0218">
              <w:rPr>
                <w:rFonts w:ascii="Calibri" w:hAnsi="Calibri"/>
                <w:color w:val="000000"/>
              </w:rPr>
              <w:t>.</w:t>
            </w:r>
            <w:r>
              <w:rPr>
                <w:rFonts w:ascii="Calibri" w:hAnsi="Calibri"/>
                <w:color w:val="000000"/>
              </w:rPr>
              <w:t>”</w:t>
            </w:r>
          </w:p>
        </w:tc>
        <w:tc>
          <w:tcPr>
            <w:tcW w:w="2869" w:type="dxa"/>
            <w:shd w:val="clear" w:color="auto" w:fill="auto"/>
          </w:tcPr>
          <w:p w14:paraId="4797F5A8" w14:textId="77777777" w:rsidR="00B879A2" w:rsidRDefault="00B879A2" w:rsidP="00A97F83">
            <w:pPr>
              <w:rPr>
                <w:rFonts w:ascii="Calibri" w:hAnsi="Calibri"/>
                <w:color w:val="000000"/>
              </w:rPr>
            </w:pPr>
            <w:r>
              <w:rPr>
                <w:rFonts w:ascii="Calibri" w:hAnsi="Calibri"/>
                <w:color w:val="000000"/>
              </w:rPr>
              <w:t>The survey asks the following question:</w:t>
            </w:r>
          </w:p>
          <w:p w14:paraId="2BB8016E" w14:textId="77777777" w:rsidR="00B879A2" w:rsidRDefault="00B879A2" w:rsidP="00A97F83">
            <w:pPr>
              <w:rPr>
                <w:rFonts w:ascii="Calibri" w:hAnsi="Calibri"/>
                <w:color w:val="000000"/>
              </w:rPr>
            </w:pPr>
          </w:p>
          <w:p w14:paraId="4D1B92CE" w14:textId="77777777" w:rsidR="00B879A2" w:rsidRPr="00A02095" w:rsidRDefault="00B879A2" w:rsidP="004D1D34">
            <w:r>
              <w:rPr>
                <w:rFonts w:ascii="Calibri" w:hAnsi="Calibri"/>
                <w:color w:val="000000"/>
              </w:rPr>
              <w:t>“</w:t>
            </w:r>
            <w:r>
              <w:t xml:space="preserve">Were there months, in the past 12 months, in which you did not have enough food to meet your family’s needs?” </w:t>
            </w:r>
          </w:p>
        </w:tc>
        <w:tc>
          <w:tcPr>
            <w:tcW w:w="2647" w:type="dxa"/>
          </w:tcPr>
          <w:p w14:paraId="35DBCB5E" w14:textId="25180B28" w:rsidR="00B879A2" w:rsidRDefault="005B2777" w:rsidP="00A97F83">
            <w:r>
              <w:t>#</w:t>
            </w:r>
            <w:r w:rsidR="00B879A2">
              <w:t xml:space="preserve"> of months households had enough food</w:t>
            </w:r>
          </w:p>
          <w:p w14:paraId="4C15A984" w14:textId="77777777" w:rsidR="00B879A2" w:rsidRDefault="00B879A2" w:rsidP="00A97F83"/>
          <w:p w14:paraId="76151B05" w14:textId="56CB73FB" w:rsidR="00B879A2" w:rsidRPr="005F7FD8" w:rsidRDefault="005B2777" w:rsidP="00A97F83">
            <w:r>
              <w:t>#</w:t>
            </w:r>
            <w:r w:rsidR="00B879A2">
              <w:t xml:space="preserve"> of months households did not have enough food</w:t>
            </w:r>
          </w:p>
        </w:tc>
        <w:tc>
          <w:tcPr>
            <w:tcW w:w="2647" w:type="dxa"/>
          </w:tcPr>
          <w:p w14:paraId="22BA8881" w14:textId="77777777" w:rsidR="00B879A2" w:rsidRPr="005F7FD8" w:rsidRDefault="009F311F" w:rsidP="00A97F83">
            <w:hyperlink r:id="rId42" w:history="1">
              <w:r w:rsidR="00B879A2" w:rsidRPr="00726D9A">
                <w:rPr>
                  <w:rStyle w:val="Hyperlink"/>
                </w:rPr>
                <w:t>http://www.fantaproject.org/monitoring-and-evaluation/mahfp</w:t>
              </w:r>
            </w:hyperlink>
            <w:r w:rsidR="00B879A2">
              <w:t xml:space="preserve"> </w:t>
            </w:r>
          </w:p>
        </w:tc>
      </w:tr>
      <w:tr w:rsidR="00B879A2" w14:paraId="5C6E735A" w14:textId="77777777" w:rsidTr="001A06C1">
        <w:tc>
          <w:tcPr>
            <w:tcW w:w="1495" w:type="dxa"/>
            <w:shd w:val="clear" w:color="auto" w:fill="auto"/>
          </w:tcPr>
          <w:p w14:paraId="29B28C50" w14:textId="77777777" w:rsidR="00B879A2" w:rsidRPr="005F7FD8" w:rsidRDefault="00B879A2" w:rsidP="00A97F83">
            <w:pPr>
              <w:rPr>
                <w:rFonts w:ascii="Calibri" w:hAnsi="Calibri"/>
                <w:b/>
                <w:bCs/>
                <w:color w:val="000000"/>
              </w:rPr>
            </w:pPr>
            <w:r>
              <w:rPr>
                <w:rFonts w:ascii="Calibri" w:hAnsi="Calibri"/>
                <w:b/>
                <w:bCs/>
                <w:color w:val="000000"/>
              </w:rPr>
              <w:t>Stunting</w:t>
            </w:r>
          </w:p>
        </w:tc>
        <w:tc>
          <w:tcPr>
            <w:tcW w:w="4022" w:type="dxa"/>
            <w:shd w:val="clear" w:color="auto" w:fill="auto"/>
          </w:tcPr>
          <w:p w14:paraId="41BDAD0F" w14:textId="77777777" w:rsidR="00B879A2" w:rsidRDefault="00B879A2" w:rsidP="00A97F83">
            <w:pPr>
              <w:rPr>
                <w:rFonts w:ascii="Calibri" w:hAnsi="Calibri"/>
                <w:color w:val="000000"/>
              </w:rPr>
            </w:pPr>
            <w:r w:rsidRPr="00D51FDD">
              <w:rPr>
                <w:rFonts w:ascii="Calibri" w:hAnsi="Calibri"/>
                <w:color w:val="000000"/>
              </w:rPr>
              <w:t xml:space="preserve">Stunting is a height-for-age measurement that is a reflection of </w:t>
            </w:r>
            <w:r w:rsidRPr="00FD79D4">
              <w:rPr>
                <w:rFonts w:ascii="Calibri" w:hAnsi="Calibri"/>
                <w:b/>
                <w:bCs/>
                <w:color w:val="000000"/>
              </w:rPr>
              <w:t>chronic undernutrition</w:t>
            </w:r>
            <w:r w:rsidRPr="00D51FDD">
              <w:rPr>
                <w:rFonts w:ascii="Calibri" w:hAnsi="Calibri"/>
                <w:color w:val="000000"/>
              </w:rPr>
              <w:t xml:space="preserve">. This indicator measures the percent of </w:t>
            </w:r>
            <w:r>
              <w:rPr>
                <w:rFonts w:ascii="Calibri" w:hAnsi="Calibri"/>
                <w:color w:val="000000"/>
              </w:rPr>
              <w:t>target population</w:t>
            </w:r>
            <w:r w:rsidRPr="00D51FDD">
              <w:rPr>
                <w:rFonts w:ascii="Calibri" w:hAnsi="Calibri"/>
                <w:color w:val="000000"/>
              </w:rPr>
              <w:t xml:space="preserve"> who are stunted, as defined by a height for age Z score &lt; -2.</w:t>
            </w:r>
          </w:p>
          <w:p w14:paraId="24A4E3AE" w14:textId="77777777" w:rsidR="00B879A2" w:rsidRDefault="00B879A2" w:rsidP="00A97F83">
            <w:pPr>
              <w:rPr>
                <w:rFonts w:ascii="Calibri" w:hAnsi="Calibri"/>
                <w:color w:val="000000"/>
              </w:rPr>
            </w:pPr>
          </w:p>
          <w:p w14:paraId="64BF4BC5" w14:textId="77777777" w:rsidR="00B879A2" w:rsidRPr="005F7FD8" w:rsidRDefault="00B879A2" w:rsidP="00A97F83">
            <w:pPr>
              <w:rPr>
                <w:rFonts w:ascii="Calibri" w:hAnsi="Calibri"/>
                <w:color w:val="000000"/>
              </w:rPr>
            </w:pPr>
            <w:r>
              <w:t>“Stunting is an indicator of linear growth retardation, most often due to prolonged exposure to an inadequate diet and poor health.”</w:t>
            </w:r>
          </w:p>
        </w:tc>
        <w:tc>
          <w:tcPr>
            <w:tcW w:w="2869" w:type="dxa"/>
            <w:shd w:val="clear" w:color="auto" w:fill="auto"/>
          </w:tcPr>
          <w:p w14:paraId="19CAC24C" w14:textId="77777777" w:rsidR="00B879A2" w:rsidRPr="005F7FD8" w:rsidRDefault="00B879A2" w:rsidP="00A97F83">
            <w:pPr>
              <w:rPr>
                <w:rFonts w:ascii="Calibri" w:hAnsi="Calibri"/>
                <w:color w:val="000000"/>
              </w:rPr>
            </w:pPr>
            <w:r>
              <w:rPr>
                <w:rFonts w:ascii="Calibri" w:hAnsi="Calibri"/>
                <w:color w:val="000000"/>
              </w:rPr>
              <w:t>Environmental enteric dysfunction (EED) is a specific type of stunting when there is intestinal damage from environmental pathogens.</w:t>
            </w:r>
          </w:p>
        </w:tc>
        <w:tc>
          <w:tcPr>
            <w:tcW w:w="2647" w:type="dxa"/>
          </w:tcPr>
          <w:p w14:paraId="128CAF82" w14:textId="0FAD8F73" w:rsidR="00B879A2" w:rsidRPr="005F7FD8" w:rsidRDefault="00B879A2" w:rsidP="00243C73">
            <w:r>
              <w:t xml:space="preserve">% change prevalence of stunted children under </w:t>
            </w:r>
            <w:r w:rsidR="00243C73">
              <w:t>5</w:t>
            </w:r>
            <w:r>
              <w:t xml:space="preserve"> years of age</w:t>
            </w:r>
          </w:p>
        </w:tc>
        <w:tc>
          <w:tcPr>
            <w:tcW w:w="2647" w:type="dxa"/>
          </w:tcPr>
          <w:p w14:paraId="3A35D629" w14:textId="77777777" w:rsidR="00B879A2" w:rsidRDefault="009F311F" w:rsidP="00A97F83">
            <w:hyperlink r:id="rId43" w:history="1">
              <w:r w:rsidR="00B879A2" w:rsidRPr="009D3A79">
                <w:rPr>
                  <w:rStyle w:val="Hyperlink"/>
                </w:rPr>
                <w:t>http://feedthefuture.gov/sites/default/files/resource/files/ftf_handbook_indicators_october2014.pdf</w:t>
              </w:r>
            </w:hyperlink>
            <w:r w:rsidR="00B879A2">
              <w:t xml:space="preserve"> </w:t>
            </w:r>
          </w:p>
          <w:p w14:paraId="3E65A4C2" w14:textId="77777777" w:rsidR="00B879A2" w:rsidRPr="005F7FD8" w:rsidRDefault="00B879A2" w:rsidP="00A97F83">
            <w:r>
              <w:t>pg. 12</w:t>
            </w:r>
          </w:p>
        </w:tc>
      </w:tr>
      <w:tr w:rsidR="00B879A2" w14:paraId="132A5F57" w14:textId="77777777" w:rsidTr="001A06C1">
        <w:tc>
          <w:tcPr>
            <w:tcW w:w="1495" w:type="dxa"/>
            <w:shd w:val="clear" w:color="auto" w:fill="auto"/>
          </w:tcPr>
          <w:p w14:paraId="144C2B79" w14:textId="77777777" w:rsidR="00B879A2" w:rsidRPr="005F7FD8" w:rsidRDefault="00B879A2" w:rsidP="00A97F83">
            <w:pPr>
              <w:rPr>
                <w:rFonts w:ascii="Calibri" w:hAnsi="Calibri"/>
                <w:b/>
                <w:bCs/>
                <w:color w:val="000000"/>
              </w:rPr>
            </w:pPr>
            <w:r w:rsidRPr="005F7FD8">
              <w:rPr>
                <w:rFonts w:ascii="Calibri" w:hAnsi="Calibri"/>
                <w:b/>
                <w:bCs/>
                <w:color w:val="000000"/>
              </w:rPr>
              <w:t>Underweight</w:t>
            </w:r>
          </w:p>
        </w:tc>
        <w:tc>
          <w:tcPr>
            <w:tcW w:w="4022" w:type="dxa"/>
            <w:shd w:val="clear" w:color="auto" w:fill="auto"/>
          </w:tcPr>
          <w:p w14:paraId="492C8A63" w14:textId="1064DF09" w:rsidR="00B879A2" w:rsidRPr="005F7FD8" w:rsidRDefault="00B879A2" w:rsidP="00A97F83">
            <w:pPr>
              <w:rPr>
                <w:rFonts w:ascii="Calibri" w:hAnsi="Calibri"/>
                <w:color w:val="000000"/>
              </w:rPr>
            </w:pPr>
            <w:r w:rsidRPr="007D6FF4">
              <w:rPr>
                <w:rFonts w:ascii="Calibri" w:hAnsi="Calibri"/>
                <w:color w:val="000000"/>
              </w:rPr>
              <w:t xml:space="preserve">Underweight is a weight-for-age measurement. Underweight is a reflection of </w:t>
            </w:r>
            <w:r w:rsidRPr="007D6FF4">
              <w:rPr>
                <w:rFonts w:ascii="Calibri" w:hAnsi="Calibri"/>
                <w:b/>
                <w:bCs/>
                <w:color w:val="000000"/>
              </w:rPr>
              <w:t>acute</w:t>
            </w:r>
            <w:r w:rsidRPr="007D6FF4">
              <w:rPr>
                <w:rFonts w:ascii="Calibri" w:hAnsi="Calibri"/>
                <w:color w:val="000000"/>
              </w:rPr>
              <w:t xml:space="preserve"> and/or </w:t>
            </w:r>
            <w:r w:rsidRPr="007D6FF4">
              <w:rPr>
                <w:rFonts w:ascii="Calibri" w:hAnsi="Calibri"/>
                <w:b/>
                <w:bCs/>
                <w:color w:val="000000"/>
              </w:rPr>
              <w:t>chronic undernutrition</w:t>
            </w:r>
            <w:r w:rsidRPr="007D6FF4">
              <w:rPr>
                <w:rFonts w:ascii="Calibri" w:hAnsi="Calibri"/>
                <w:color w:val="000000"/>
              </w:rPr>
              <w:t>. This indicator</w:t>
            </w:r>
            <w:r>
              <w:rPr>
                <w:rFonts w:ascii="Calibri" w:hAnsi="Calibri"/>
                <w:color w:val="000000"/>
              </w:rPr>
              <w:t xml:space="preserve"> </w:t>
            </w:r>
            <w:r w:rsidRPr="007D6FF4">
              <w:rPr>
                <w:rFonts w:ascii="Calibri" w:hAnsi="Calibri"/>
                <w:color w:val="000000"/>
              </w:rPr>
              <w:t xml:space="preserve">measures the percent of </w:t>
            </w:r>
            <w:r>
              <w:rPr>
                <w:rFonts w:ascii="Calibri" w:hAnsi="Calibri"/>
                <w:color w:val="000000"/>
              </w:rPr>
              <w:t>target population</w:t>
            </w:r>
            <w:r w:rsidRPr="007D6FF4">
              <w:rPr>
                <w:rFonts w:ascii="Calibri" w:hAnsi="Calibri"/>
                <w:color w:val="000000"/>
              </w:rPr>
              <w:t xml:space="preserve"> who are underweight as defined by a weight for age Z score &lt; -2.</w:t>
            </w:r>
          </w:p>
        </w:tc>
        <w:tc>
          <w:tcPr>
            <w:tcW w:w="2869" w:type="dxa"/>
            <w:shd w:val="clear" w:color="auto" w:fill="auto"/>
          </w:tcPr>
          <w:p w14:paraId="4CC5D21A" w14:textId="77777777" w:rsidR="00B879A2" w:rsidRDefault="00B879A2" w:rsidP="00A97F83">
            <w:pPr>
              <w:rPr>
                <w:rFonts w:ascii="Calibri" w:hAnsi="Calibri"/>
                <w:color w:val="000000"/>
              </w:rPr>
            </w:pPr>
            <w:r>
              <w:rPr>
                <w:rFonts w:ascii="Calibri" w:hAnsi="Calibri"/>
                <w:color w:val="000000"/>
              </w:rPr>
              <w:t xml:space="preserve">This is considered particularly important for women of reproductive age. </w:t>
            </w:r>
          </w:p>
          <w:p w14:paraId="03EE8570" w14:textId="77777777" w:rsidR="00B879A2" w:rsidRDefault="00B879A2" w:rsidP="00A97F83">
            <w:pPr>
              <w:rPr>
                <w:rFonts w:ascii="Calibri" w:hAnsi="Calibri"/>
                <w:color w:val="000000"/>
              </w:rPr>
            </w:pPr>
          </w:p>
          <w:p w14:paraId="7081D75A" w14:textId="77777777" w:rsidR="00B879A2" w:rsidRPr="005F7FD8" w:rsidRDefault="00B879A2" w:rsidP="00A97F83">
            <w:pPr>
              <w:rPr>
                <w:rFonts w:ascii="Calibri" w:hAnsi="Calibri"/>
                <w:color w:val="000000"/>
              </w:rPr>
            </w:pPr>
            <w:r>
              <w:rPr>
                <w:rFonts w:ascii="Calibri" w:hAnsi="Calibri"/>
                <w:color w:val="000000"/>
              </w:rPr>
              <w:t>Measure for women by BMI &lt; 18.5kg/m</w:t>
            </w:r>
            <w:r>
              <w:rPr>
                <w:rFonts w:ascii="Calibri" w:hAnsi="Calibri"/>
                <w:color w:val="000000"/>
                <w:vertAlign w:val="superscript"/>
              </w:rPr>
              <w:t>2</w:t>
            </w:r>
            <w:r>
              <w:rPr>
                <w:rFonts w:ascii="Calibri" w:hAnsi="Calibri"/>
                <w:color w:val="000000"/>
              </w:rPr>
              <w:t xml:space="preserve"> </w:t>
            </w:r>
          </w:p>
        </w:tc>
        <w:tc>
          <w:tcPr>
            <w:tcW w:w="2647" w:type="dxa"/>
          </w:tcPr>
          <w:p w14:paraId="402F8457" w14:textId="77777777" w:rsidR="00B879A2" w:rsidRDefault="00B879A2" w:rsidP="00A97F83">
            <w:r>
              <w:t>% change prevalence of underweight women</w:t>
            </w:r>
          </w:p>
          <w:p w14:paraId="79F4E621" w14:textId="77777777" w:rsidR="00B879A2" w:rsidRDefault="00B879A2" w:rsidP="00A97F83"/>
          <w:p w14:paraId="432D68BD" w14:textId="77777777" w:rsidR="00B879A2" w:rsidRDefault="00B879A2" w:rsidP="00A97F83">
            <w:r>
              <w:t>% low birth weight</w:t>
            </w:r>
          </w:p>
          <w:p w14:paraId="4017F21A" w14:textId="77777777" w:rsidR="00B879A2" w:rsidRDefault="00B879A2" w:rsidP="00A97F83"/>
          <w:p w14:paraId="71AFA84F" w14:textId="77777777" w:rsidR="00B879A2" w:rsidRPr="005F7FD8" w:rsidRDefault="00B879A2" w:rsidP="00A97F83">
            <w:r>
              <w:t>% of underweight (BMI &lt; 18.5 kg/m</w:t>
            </w:r>
            <w:r w:rsidRPr="0045021A">
              <w:rPr>
                <w:vertAlign w:val="superscript"/>
              </w:rPr>
              <w:t>2</w:t>
            </w:r>
            <w:r>
              <w:t>) women of reproductive age (15-49 years)</w:t>
            </w:r>
          </w:p>
        </w:tc>
        <w:tc>
          <w:tcPr>
            <w:tcW w:w="2647" w:type="dxa"/>
          </w:tcPr>
          <w:p w14:paraId="7AD8C8DF" w14:textId="77777777" w:rsidR="00B879A2" w:rsidRDefault="009F311F" w:rsidP="00A97F83">
            <w:hyperlink r:id="rId44" w:history="1">
              <w:r w:rsidR="00B879A2" w:rsidRPr="009D3A79">
                <w:rPr>
                  <w:rStyle w:val="Hyperlink"/>
                </w:rPr>
                <w:t>http://feedthefuture.gov/sites/default/files/resource/files/ftf_handbook_indicators_october2014.pdf</w:t>
              </w:r>
            </w:hyperlink>
            <w:r w:rsidR="00B879A2">
              <w:t xml:space="preserve"> </w:t>
            </w:r>
          </w:p>
          <w:p w14:paraId="699EFBAF" w14:textId="77777777" w:rsidR="00B879A2" w:rsidRPr="005F7FD8" w:rsidRDefault="00B879A2" w:rsidP="00A97F83">
            <w:r>
              <w:t>pg. 14</w:t>
            </w:r>
          </w:p>
        </w:tc>
      </w:tr>
      <w:tr w:rsidR="00B879A2" w14:paraId="494620FC" w14:textId="77777777" w:rsidTr="001A06C1">
        <w:tc>
          <w:tcPr>
            <w:tcW w:w="1495" w:type="dxa"/>
            <w:shd w:val="clear" w:color="auto" w:fill="auto"/>
          </w:tcPr>
          <w:p w14:paraId="5B983C42" w14:textId="77777777" w:rsidR="00B879A2" w:rsidRPr="005F7FD8" w:rsidRDefault="00B879A2" w:rsidP="00A97F83">
            <w:pPr>
              <w:rPr>
                <w:rFonts w:ascii="Calibri" w:hAnsi="Calibri"/>
                <w:b/>
                <w:bCs/>
                <w:color w:val="000000"/>
              </w:rPr>
            </w:pPr>
            <w:r w:rsidRPr="005F7FD8">
              <w:rPr>
                <w:rFonts w:ascii="Calibri" w:hAnsi="Calibri"/>
                <w:b/>
                <w:color w:val="000000"/>
              </w:rPr>
              <w:t>Wasting</w:t>
            </w:r>
          </w:p>
        </w:tc>
        <w:tc>
          <w:tcPr>
            <w:tcW w:w="4022" w:type="dxa"/>
            <w:shd w:val="clear" w:color="auto" w:fill="auto"/>
          </w:tcPr>
          <w:p w14:paraId="7A4C9DE5" w14:textId="77777777" w:rsidR="00B879A2" w:rsidRDefault="00B879A2" w:rsidP="00A97F83">
            <w:r>
              <w:t xml:space="preserve">This indicator measures the percent of target population who are </w:t>
            </w:r>
            <w:r w:rsidRPr="00D51FDD">
              <w:rPr>
                <w:b/>
                <w:bCs/>
              </w:rPr>
              <w:t>acutely malnourished</w:t>
            </w:r>
            <w:r>
              <w:t>, as defined by a weight for height Z score &lt; - 2.</w:t>
            </w:r>
          </w:p>
          <w:p w14:paraId="685245F0" w14:textId="77777777" w:rsidR="00B879A2" w:rsidRDefault="00B879A2" w:rsidP="00A97F83">
            <w:pPr>
              <w:rPr>
                <w:rFonts w:ascii="Calibri" w:hAnsi="Calibri"/>
                <w:color w:val="000000"/>
              </w:rPr>
            </w:pPr>
          </w:p>
          <w:p w14:paraId="3751E9D2" w14:textId="666D4D06" w:rsidR="00B879A2" w:rsidRDefault="00B879A2" w:rsidP="00A97F83">
            <w:pPr>
              <w:rPr>
                <w:rFonts w:ascii="Calibri" w:hAnsi="Calibri"/>
                <w:color w:val="000000"/>
              </w:rPr>
            </w:pPr>
            <w:r>
              <w:t xml:space="preserve">Wasting is an indicator of </w:t>
            </w:r>
            <w:r w:rsidRPr="00230DB3">
              <w:rPr>
                <w:b/>
                <w:bCs/>
              </w:rPr>
              <w:t>acute malnutrition</w:t>
            </w:r>
            <w:r>
              <w:t xml:space="preserve">. </w:t>
            </w:r>
            <w:r w:rsidR="00414712">
              <w:t>Those</w:t>
            </w:r>
            <w:r>
              <w:t xml:space="preserve"> who are wasted are too thin for their height</w:t>
            </w:r>
            <w:r w:rsidR="00414712">
              <w:t>.</w:t>
            </w:r>
          </w:p>
          <w:p w14:paraId="5C83EAC3" w14:textId="77777777" w:rsidR="00B879A2" w:rsidRDefault="00B879A2" w:rsidP="00A97F83">
            <w:pPr>
              <w:rPr>
                <w:rFonts w:ascii="Calibri" w:hAnsi="Calibri"/>
                <w:color w:val="000000"/>
              </w:rPr>
            </w:pPr>
          </w:p>
          <w:p w14:paraId="4BD23400" w14:textId="77777777" w:rsidR="00B879A2" w:rsidRPr="005F7FD8" w:rsidRDefault="00B879A2" w:rsidP="00A97F83">
            <w:pPr>
              <w:rPr>
                <w:rFonts w:ascii="Calibri" w:hAnsi="Calibri"/>
                <w:color w:val="000000"/>
              </w:rPr>
            </w:pPr>
            <w:r>
              <w:rPr>
                <w:rFonts w:ascii="Calibri" w:hAnsi="Calibri"/>
                <w:color w:val="000000"/>
              </w:rPr>
              <w:t>Wasting can be associated with crises or normal circumstances</w:t>
            </w:r>
          </w:p>
        </w:tc>
        <w:tc>
          <w:tcPr>
            <w:tcW w:w="2869" w:type="dxa"/>
            <w:shd w:val="clear" w:color="auto" w:fill="auto"/>
          </w:tcPr>
          <w:p w14:paraId="5A21B2D3" w14:textId="3DBF659C" w:rsidR="00B879A2" w:rsidRPr="00E1380E" w:rsidRDefault="00B879A2" w:rsidP="00243C73">
            <w:pPr>
              <w:rPr>
                <w:rFonts w:ascii="Calibri" w:hAnsi="Calibri"/>
                <w:color w:val="000000"/>
              </w:rPr>
            </w:pPr>
            <w:r>
              <w:rPr>
                <w:rFonts w:ascii="Calibri" w:hAnsi="Calibri"/>
                <w:color w:val="000000"/>
              </w:rPr>
              <w:t xml:space="preserve">Wasting is measured by weight-for-height, mid-upper arm circumference or </w:t>
            </w:r>
            <w:r w:rsidR="00243C73">
              <w:rPr>
                <w:rFonts w:ascii="Calibri" w:hAnsi="Calibri"/>
                <w:color w:val="000000"/>
              </w:rPr>
              <w:t>presence of</w:t>
            </w:r>
            <w:r>
              <w:rPr>
                <w:rFonts w:ascii="Calibri" w:hAnsi="Calibri"/>
                <w:color w:val="000000"/>
              </w:rPr>
              <w:t xml:space="preserve"> edema in both feet.</w:t>
            </w:r>
          </w:p>
        </w:tc>
        <w:tc>
          <w:tcPr>
            <w:tcW w:w="2647" w:type="dxa"/>
          </w:tcPr>
          <w:p w14:paraId="59D625C9" w14:textId="72A9F626" w:rsidR="00B879A2" w:rsidRPr="005F7FD8" w:rsidRDefault="00B879A2" w:rsidP="00243C73">
            <w:r>
              <w:t xml:space="preserve">% change prevalence of wasted children under </w:t>
            </w:r>
            <w:r w:rsidR="00243C73">
              <w:t xml:space="preserve">5 </w:t>
            </w:r>
            <w:r>
              <w:t>years of age</w:t>
            </w:r>
          </w:p>
        </w:tc>
        <w:tc>
          <w:tcPr>
            <w:tcW w:w="2647" w:type="dxa"/>
          </w:tcPr>
          <w:p w14:paraId="077487C2" w14:textId="77777777" w:rsidR="00B879A2" w:rsidRDefault="009F311F" w:rsidP="00A97F83">
            <w:hyperlink r:id="rId45" w:history="1">
              <w:r w:rsidR="00B879A2" w:rsidRPr="009D3A79">
                <w:rPr>
                  <w:rStyle w:val="Hyperlink"/>
                </w:rPr>
                <w:t>http://feedthefuture.gov/sites/default/files/resource/files/ftf_handbook_indicators_october2014.pdf</w:t>
              </w:r>
            </w:hyperlink>
            <w:r w:rsidR="00B879A2">
              <w:t xml:space="preserve"> </w:t>
            </w:r>
          </w:p>
          <w:p w14:paraId="1C88DAFF" w14:textId="77777777" w:rsidR="00B879A2" w:rsidRPr="005F7FD8" w:rsidRDefault="00B879A2" w:rsidP="00A97F83">
            <w:r>
              <w:t>pg. 13</w:t>
            </w:r>
          </w:p>
        </w:tc>
      </w:tr>
      <w:tr w:rsidR="00B879A2" w14:paraId="23864386" w14:textId="77777777" w:rsidTr="001A06C1">
        <w:tc>
          <w:tcPr>
            <w:tcW w:w="1495" w:type="dxa"/>
            <w:shd w:val="clear" w:color="auto" w:fill="auto"/>
          </w:tcPr>
          <w:p w14:paraId="226C2DCE" w14:textId="77777777" w:rsidR="00B879A2" w:rsidRPr="005F7FD8" w:rsidRDefault="00B879A2" w:rsidP="00A97F83">
            <w:pPr>
              <w:rPr>
                <w:rFonts w:ascii="Calibri" w:hAnsi="Calibri"/>
                <w:b/>
                <w:color w:val="000000"/>
              </w:rPr>
            </w:pPr>
            <w:r>
              <w:rPr>
                <w:rFonts w:ascii="Calibri" w:hAnsi="Calibri"/>
                <w:b/>
                <w:color w:val="000000"/>
              </w:rPr>
              <w:t>Women’s Dietary Diversity Scale (WDDS)</w:t>
            </w:r>
          </w:p>
        </w:tc>
        <w:tc>
          <w:tcPr>
            <w:tcW w:w="4022" w:type="dxa"/>
            <w:shd w:val="clear" w:color="auto" w:fill="auto"/>
          </w:tcPr>
          <w:p w14:paraId="2B25EB8A" w14:textId="7D54FFE5" w:rsidR="00B879A2" w:rsidRPr="005F7FD8" w:rsidRDefault="00B879A2" w:rsidP="001F79FD">
            <w:pPr>
              <w:rPr>
                <w:rFonts w:ascii="Calibri" w:hAnsi="Calibri"/>
                <w:color w:val="000000"/>
              </w:rPr>
            </w:pPr>
            <w:r>
              <w:rPr>
                <w:rFonts w:ascii="Calibri" w:hAnsi="Calibri"/>
                <w:color w:val="000000"/>
              </w:rPr>
              <w:t>The Women’s Dietary Diversity Scale is based on the HDDS. Women’s dietary diversity receives additional consideration because of contextual factors which might afford women less access to sufficient food (e.g. women might eat last, have less purchasing power or not be allowed to eat certain foods, etc.).</w:t>
            </w:r>
          </w:p>
        </w:tc>
        <w:tc>
          <w:tcPr>
            <w:tcW w:w="2869" w:type="dxa"/>
            <w:shd w:val="clear" w:color="auto" w:fill="auto"/>
          </w:tcPr>
          <w:p w14:paraId="68C9CD58" w14:textId="77777777" w:rsidR="00B879A2" w:rsidRPr="005F7FD8" w:rsidRDefault="00B879A2" w:rsidP="00A97F83">
            <w:pPr>
              <w:rPr>
                <w:rFonts w:ascii="Calibri" w:hAnsi="Calibri"/>
                <w:color w:val="000000"/>
              </w:rPr>
            </w:pPr>
            <w:r>
              <w:rPr>
                <w:rFonts w:ascii="Calibri" w:hAnsi="Calibri"/>
                <w:color w:val="000000"/>
              </w:rPr>
              <w:t>See Household Dietary Diversity Score for measurement metrics</w:t>
            </w:r>
          </w:p>
        </w:tc>
        <w:tc>
          <w:tcPr>
            <w:tcW w:w="2647" w:type="dxa"/>
          </w:tcPr>
          <w:p w14:paraId="64A20EA3" w14:textId="2942243F" w:rsidR="00B879A2" w:rsidRDefault="00B879A2" w:rsidP="00A97F83">
            <w:r>
              <w:t xml:space="preserve">Mean </w:t>
            </w:r>
            <w:r w:rsidR="005B2777">
              <w:t>#</w:t>
            </w:r>
            <w:r>
              <w:t xml:space="preserve"> of food groups consumed by women of reproductive age (15-49 years)</w:t>
            </w:r>
          </w:p>
          <w:p w14:paraId="3818734F" w14:textId="77777777" w:rsidR="00550A2F" w:rsidRDefault="00550A2F" w:rsidP="00A97F83"/>
          <w:p w14:paraId="20D79C5C" w14:textId="00CBCC66" w:rsidR="00550A2F" w:rsidRPr="005F7FD8" w:rsidRDefault="00550A2F" w:rsidP="00A97F83">
            <w:r>
              <w:rPr>
                <w:szCs w:val="20"/>
                <w:lang w:bidi="ne-NP"/>
              </w:rPr>
              <w:t>See the included link for more information about the indicators.</w:t>
            </w:r>
          </w:p>
        </w:tc>
        <w:tc>
          <w:tcPr>
            <w:tcW w:w="2647" w:type="dxa"/>
          </w:tcPr>
          <w:p w14:paraId="0A9644C6" w14:textId="77777777" w:rsidR="00B879A2" w:rsidRDefault="009F311F" w:rsidP="00A97F83">
            <w:hyperlink r:id="rId46" w:history="1">
              <w:r w:rsidR="00B879A2" w:rsidRPr="00726D9A">
                <w:rPr>
                  <w:rStyle w:val="Hyperlink"/>
                </w:rPr>
                <w:t>http://www.fao.org/3/a-i1983e.pdf</w:t>
              </w:r>
            </w:hyperlink>
            <w:r w:rsidR="00B879A2">
              <w:t xml:space="preserve"> </w:t>
            </w:r>
          </w:p>
          <w:p w14:paraId="41D9211E" w14:textId="77777777" w:rsidR="00B879A2" w:rsidRDefault="00B879A2" w:rsidP="00A97F83"/>
          <w:p w14:paraId="41D856C9" w14:textId="77777777" w:rsidR="00B879A2" w:rsidRPr="005F7FD8" w:rsidRDefault="009F311F" w:rsidP="00A97F83">
            <w:hyperlink r:id="rId47" w:history="1">
              <w:r w:rsidR="00B879A2" w:rsidRPr="00726D9A">
                <w:rPr>
                  <w:rStyle w:val="Hyperlink"/>
                </w:rPr>
                <w:t>http://www.fantaproject.org/sites/default/files/resources/Introduce-MDD-W-indicator-brief-Sep2014.pdf</w:t>
              </w:r>
            </w:hyperlink>
            <w:r w:rsidR="00B879A2">
              <w:t xml:space="preserve"> </w:t>
            </w:r>
          </w:p>
        </w:tc>
      </w:tr>
    </w:tbl>
    <w:p w14:paraId="0F680098" w14:textId="77777777" w:rsidR="00D9613C" w:rsidRDefault="00D9613C" w:rsidP="00D9613C">
      <w:pPr>
        <w:pStyle w:val="NoSpacing"/>
      </w:pPr>
    </w:p>
    <w:p w14:paraId="23EB71A1" w14:textId="77777777" w:rsidR="00D9613C" w:rsidRDefault="00D9613C" w:rsidP="00D9613C">
      <w:r>
        <w:br w:type="page"/>
      </w:r>
    </w:p>
    <w:p w14:paraId="1A72FFFD" w14:textId="77777777" w:rsidR="00D9613C" w:rsidRDefault="00D9613C" w:rsidP="00D9613C">
      <w:pPr>
        <w:pStyle w:val="NoSpacing"/>
        <w:rPr>
          <w:bCs/>
          <w:szCs w:val="16"/>
        </w:rPr>
      </w:pPr>
      <w:bookmarkStart w:id="3" w:name="Glossary_for_Capacity_Development"/>
      <w:r w:rsidRPr="00B65DEE">
        <w:rPr>
          <w:b/>
          <w:sz w:val="32"/>
        </w:rPr>
        <w:t xml:space="preserve">Glossary for </w:t>
      </w:r>
      <w:r>
        <w:rPr>
          <w:b/>
          <w:sz w:val="32"/>
        </w:rPr>
        <w:t>Capacity Development for Farmer Associations and Cooperatives</w:t>
      </w:r>
      <w:bookmarkEnd w:id="3"/>
    </w:p>
    <w:p w14:paraId="62EF75CB" w14:textId="0B404063" w:rsidR="00AE391F" w:rsidRDefault="00AE391F" w:rsidP="00D9613C">
      <w:pPr>
        <w:pStyle w:val="NoSpacing"/>
        <w:rPr>
          <w:bCs/>
          <w:szCs w:val="16"/>
        </w:rPr>
      </w:pPr>
      <w:r>
        <w:rPr>
          <w:bCs/>
          <w:szCs w:val="16"/>
        </w:rPr>
        <w:t xml:space="preserve">There are no identified technical terms with technical definitions at this time. Should any be identified in the future, they will be added to this document. </w:t>
      </w:r>
    </w:p>
    <w:p w14:paraId="1786C803" w14:textId="77777777" w:rsidR="00AE391F" w:rsidRDefault="00AE391F" w:rsidP="00D9613C">
      <w:pPr>
        <w:pStyle w:val="NoSpacing"/>
        <w:rPr>
          <w:bCs/>
          <w:szCs w:val="16"/>
        </w:rPr>
      </w:pPr>
    </w:p>
    <w:p w14:paraId="05FD57E0" w14:textId="40E9EA34" w:rsidR="00941C77" w:rsidRDefault="00941C77" w:rsidP="00D9613C">
      <w:pPr>
        <w:pStyle w:val="NoSpacing"/>
        <w:rPr>
          <w:bCs/>
          <w:szCs w:val="16"/>
        </w:rPr>
      </w:pPr>
      <w:r>
        <w:rPr>
          <w:bCs/>
          <w:szCs w:val="16"/>
        </w:rPr>
        <w:t xml:space="preserve">A common indicator for capacity development is the adoption or implementation of new structures, governance, statutes or policies by an organization or changes in leadership. What qualifies as adoption will be specific to the context of each project and organization. New policies are not always necessary for capacity development—in many projects greater member </w:t>
      </w:r>
      <w:r w:rsidR="00B929CF">
        <w:rPr>
          <w:bCs/>
          <w:szCs w:val="16"/>
        </w:rPr>
        <w:t xml:space="preserve">participation </w:t>
      </w:r>
      <w:r>
        <w:rPr>
          <w:bCs/>
          <w:szCs w:val="16"/>
        </w:rPr>
        <w:t xml:space="preserve">and contributions are all that </w:t>
      </w:r>
      <w:r w:rsidR="00B929CF">
        <w:rPr>
          <w:bCs/>
          <w:szCs w:val="16"/>
        </w:rPr>
        <w:t>is</w:t>
      </w:r>
      <w:r>
        <w:rPr>
          <w:bCs/>
          <w:szCs w:val="16"/>
        </w:rPr>
        <w:t xml:space="preserve"> needed to support existing policies. </w:t>
      </w:r>
      <w:r w:rsidR="00625178">
        <w:rPr>
          <w:bCs/>
          <w:szCs w:val="16"/>
        </w:rPr>
        <w:t xml:space="preserve">Capacity development for farmer associations and cooperatives depends on the type of organization, the organizational structure, the services provided and the context of the local community and project. </w:t>
      </w:r>
      <w:r w:rsidR="0059665C">
        <w:rPr>
          <w:bCs/>
          <w:szCs w:val="16"/>
        </w:rPr>
        <w:t>Many capacity assessment frameworks are available to identify areas of strengths and weaknesses within an organizati</w:t>
      </w:r>
      <w:r w:rsidR="00AE391F">
        <w:rPr>
          <w:bCs/>
          <w:szCs w:val="16"/>
        </w:rPr>
        <w:t xml:space="preserve">on—please see the Additional Resources for a list of such documents. </w:t>
      </w:r>
    </w:p>
    <w:p w14:paraId="11734A81" w14:textId="77777777" w:rsidR="00AE391F" w:rsidRDefault="00AE391F" w:rsidP="00D9613C">
      <w:pPr>
        <w:pStyle w:val="NoSpacing"/>
        <w:rPr>
          <w:bCs/>
          <w:szCs w:val="16"/>
        </w:rPr>
      </w:pPr>
    </w:p>
    <w:p w14:paraId="0EFDFF66" w14:textId="26670176" w:rsidR="00AE391F" w:rsidRDefault="00AE391F" w:rsidP="00D9613C">
      <w:pPr>
        <w:pStyle w:val="NoSpacing"/>
        <w:rPr>
          <w:bCs/>
          <w:szCs w:val="16"/>
        </w:rPr>
      </w:pPr>
      <w:r>
        <w:rPr>
          <w:bCs/>
          <w:szCs w:val="16"/>
        </w:rPr>
        <w:t>Example Capacity Development Indicators:</w:t>
      </w:r>
    </w:p>
    <w:tbl>
      <w:tblPr>
        <w:tblStyle w:val="TableGrid"/>
        <w:tblW w:w="0" w:type="auto"/>
        <w:tblInd w:w="60" w:type="dxa"/>
        <w:tblLayout w:type="fixed"/>
        <w:tblLook w:val="04A0" w:firstRow="1" w:lastRow="0" w:firstColumn="1" w:lastColumn="0" w:noHBand="0" w:noVBand="1"/>
      </w:tblPr>
      <w:tblGrid>
        <w:gridCol w:w="6415"/>
        <w:gridCol w:w="7195"/>
      </w:tblGrid>
      <w:tr w:rsidR="00AE391F" w14:paraId="3445240A" w14:textId="77777777" w:rsidTr="00AE391F">
        <w:tc>
          <w:tcPr>
            <w:tcW w:w="6415" w:type="dxa"/>
            <w:shd w:val="clear" w:color="auto" w:fill="A6CE39"/>
          </w:tcPr>
          <w:p w14:paraId="6B1DA443" w14:textId="77777777" w:rsidR="00AE391F" w:rsidRPr="00383B19" w:rsidRDefault="00AE391F" w:rsidP="00A97F83">
            <w:pPr>
              <w:jc w:val="center"/>
              <w:rPr>
                <w:b/>
                <w:sz w:val="24"/>
              </w:rPr>
            </w:pPr>
            <w:r>
              <w:rPr>
                <w:b/>
                <w:sz w:val="24"/>
              </w:rPr>
              <w:t>Example Indicator</w:t>
            </w:r>
          </w:p>
        </w:tc>
        <w:tc>
          <w:tcPr>
            <w:tcW w:w="7195" w:type="dxa"/>
            <w:shd w:val="clear" w:color="auto" w:fill="A6CE39"/>
            <w:vAlign w:val="center"/>
          </w:tcPr>
          <w:p w14:paraId="6B3390C1" w14:textId="77777777" w:rsidR="00AE391F" w:rsidRPr="00383B19" w:rsidRDefault="00AE391F" w:rsidP="00A97F83">
            <w:pPr>
              <w:jc w:val="center"/>
              <w:rPr>
                <w:b/>
                <w:sz w:val="24"/>
              </w:rPr>
            </w:pPr>
            <w:r w:rsidRPr="00383B19">
              <w:rPr>
                <w:b/>
                <w:sz w:val="24"/>
              </w:rPr>
              <w:t>External Guidance</w:t>
            </w:r>
          </w:p>
        </w:tc>
      </w:tr>
      <w:tr w:rsidR="00AE391F" w14:paraId="6F424550" w14:textId="77777777" w:rsidTr="00AE391F">
        <w:tc>
          <w:tcPr>
            <w:tcW w:w="6415" w:type="dxa"/>
          </w:tcPr>
          <w:p w14:paraId="127AE07B" w14:textId="77777777" w:rsidR="00AE391F" w:rsidRPr="00AF6063" w:rsidRDefault="00AE391F" w:rsidP="00A97F83">
            <w:r>
              <w:t># of members of producer organizations and community based organizations receiving assistance</w:t>
            </w:r>
          </w:p>
        </w:tc>
        <w:tc>
          <w:tcPr>
            <w:tcW w:w="7195" w:type="dxa"/>
          </w:tcPr>
          <w:p w14:paraId="0F0288AE" w14:textId="67B271FD" w:rsidR="00AE391F" w:rsidRPr="00AF6063" w:rsidRDefault="009F311F" w:rsidP="00A97F83">
            <w:hyperlink r:id="rId48" w:history="1">
              <w:r w:rsidR="00AE391F" w:rsidRPr="00620F5B">
                <w:rPr>
                  <w:rStyle w:val="Hyperlink"/>
                </w:rPr>
                <w:t>http://feedthefuture.gov/sites/default/files/resource/files/ftf_handbook_indicators_october2014.pdf</w:t>
              </w:r>
            </w:hyperlink>
            <w:r w:rsidR="00AE391F">
              <w:br/>
              <w:t>pg. 77</w:t>
            </w:r>
          </w:p>
        </w:tc>
      </w:tr>
      <w:tr w:rsidR="00AE391F" w14:paraId="03234615" w14:textId="77777777" w:rsidTr="00AE391F">
        <w:tc>
          <w:tcPr>
            <w:tcW w:w="6415" w:type="dxa"/>
          </w:tcPr>
          <w:p w14:paraId="15E34DD3" w14:textId="51873361" w:rsidR="00AE391F" w:rsidRPr="00AF6063" w:rsidRDefault="00AE391F" w:rsidP="00A97F83">
            <w:r>
              <w:t># of cooperatives or associations with new structures, governance, statutes or policies</w:t>
            </w:r>
          </w:p>
        </w:tc>
        <w:tc>
          <w:tcPr>
            <w:tcW w:w="7195" w:type="dxa"/>
          </w:tcPr>
          <w:p w14:paraId="4C2D5BB0" w14:textId="77777777" w:rsidR="00AE391F" w:rsidRPr="00AF6063" w:rsidRDefault="00AE391F" w:rsidP="00A97F83"/>
        </w:tc>
      </w:tr>
      <w:tr w:rsidR="00AE391F" w14:paraId="2E62FC5F" w14:textId="77777777" w:rsidTr="00AE391F">
        <w:tc>
          <w:tcPr>
            <w:tcW w:w="6415" w:type="dxa"/>
          </w:tcPr>
          <w:p w14:paraId="1B9EF92E" w14:textId="782AC873" w:rsidR="00AE391F" w:rsidRPr="00AF6063" w:rsidRDefault="00AE391F" w:rsidP="00EC2E4E">
            <w:r>
              <w:t>% change in participants’ contributions</w:t>
            </w:r>
          </w:p>
        </w:tc>
        <w:tc>
          <w:tcPr>
            <w:tcW w:w="7195" w:type="dxa"/>
          </w:tcPr>
          <w:p w14:paraId="3CCA0D0A" w14:textId="77777777" w:rsidR="00AE391F" w:rsidRPr="00AF6063" w:rsidRDefault="00AE391F" w:rsidP="00A97F83"/>
        </w:tc>
      </w:tr>
      <w:tr w:rsidR="00AE391F" w14:paraId="50BC2263" w14:textId="77777777" w:rsidTr="00AE391F">
        <w:tc>
          <w:tcPr>
            <w:tcW w:w="6415" w:type="dxa"/>
          </w:tcPr>
          <w:p w14:paraId="1BECE4B5" w14:textId="6529B6F2" w:rsidR="00AE391F" w:rsidRPr="00AF6063" w:rsidRDefault="00AE391F" w:rsidP="00A97F83">
            <w:r>
              <w:t># of women’s organizations/associations assisted</w:t>
            </w:r>
          </w:p>
        </w:tc>
        <w:tc>
          <w:tcPr>
            <w:tcW w:w="7195" w:type="dxa"/>
          </w:tcPr>
          <w:p w14:paraId="6A0EB17E" w14:textId="77777777" w:rsidR="00AE391F" w:rsidRPr="00AF6063" w:rsidRDefault="00AE391F" w:rsidP="00A97F83"/>
        </w:tc>
      </w:tr>
      <w:tr w:rsidR="00AE391F" w14:paraId="4EA2A4B6" w14:textId="77777777" w:rsidTr="00AE391F">
        <w:tc>
          <w:tcPr>
            <w:tcW w:w="6415" w:type="dxa"/>
          </w:tcPr>
          <w:p w14:paraId="338FE8CF" w14:textId="2EED5C02" w:rsidR="00AE391F" w:rsidRPr="00AF6063" w:rsidRDefault="00AE391F" w:rsidP="00AE391F">
            <w:r>
              <w:t>% change over baseline number of women in positions of leadership</w:t>
            </w:r>
          </w:p>
        </w:tc>
        <w:tc>
          <w:tcPr>
            <w:tcW w:w="7195" w:type="dxa"/>
          </w:tcPr>
          <w:p w14:paraId="32E3222B" w14:textId="77777777" w:rsidR="00AE391F" w:rsidRPr="00AF6063" w:rsidRDefault="00AE391F" w:rsidP="00A97F83"/>
        </w:tc>
      </w:tr>
    </w:tbl>
    <w:p w14:paraId="65F96F30" w14:textId="77777777" w:rsidR="00D9613C" w:rsidRPr="00D9613C" w:rsidRDefault="00D9613C" w:rsidP="00AA55B9">
      <w:pPr>
        <w:pStyle w:val="NoSpacing"/>
        <w:rPr>
          <w:bCs/>
          <w:szCs w:val="16"/>
        </w:rPr>
      </w:pPr>
    </w:p>
    <w:p w14:paraId="794A3C39" w14:textId="77777777" w:rsidR="00D9613C" w:rsidRDefault="00D9613C">
      <w:pPr>
        <w:rPr>
          <w:b/>
          <w:sz w:val="32"/>
        </w:rPr>
      </w:pPr>
      <w:r>
        <w:rPr>
          <w:b/>
          <w:sz w:val="32"/>
        </w:rPr>
        <w:br w:type="page"/>
      </w:r>
    </w:p>
    <w:p w14:paraId="0CF978C5" w14:textId="2D2B82EB" w:rsidR="00AA55B9" w:rsidRPr="00B65DEE" w:rsidRDefault="00AA55B9" w:rsidP="00AA55B9">
      <w:pPr>
        <w:pStyle w:val="NoSpacing"/>
        <w:rPr>
          <w:b/>
          <w:sz w:val="32"/>
        </w:rPr>
      </w:pPr>
      <w:r w:rsidRPr="00B65DEE">
        <w:rPr>
          <w:b/>
          <w:sz w:val="32"/>
        </w:rPr>
        <w:t xml:space="preserve">Glossary for </w:t>
      </w:r>
      <w:r>
        <w:rPr>
          <w:b/>
          <w:sz w:val="32"/>
        </w:rPr>
        <w:t>Financing for Rural Producers</w:t>
      </w:r>
      <w:bookmarkEnd w:id="2"/>
    </w:p>
    <w:tbl>
      <w:tblPr>
        <w:tblStyle w:val="TableGrid"/>
        <w:tblW w:w="13680" w:type="dxa"/>
        <w:tblInd w:w="60" w:type="dxa"/>
        <w:tblLayout w:type="fixed"/>
        <w:tblLook w:val="04A0" w:firstRow="1" w:lastRow="0" w:firstColumn="1" w:lastColumn="0" w:noHBand="0" w:noVBand="1"/>
      </w:tblPr>
      <w:tblGrid>
        <w:gridCol w:w="1424"/>
        <w:gridCol w:w="4093"/>
        <w:gridCol w:w="2869"/>
        <w:gridCol w:w="2647"/>
        <w:gridCol w:w="2647"/>
      </w:tblGrid>
      <w:tr w:rsidR="00AA55B9" w14:paraId="58DEFA3E" w14:textId="77777777" w:rsidTr="001A06C1">
        <w:tc>
          <w:tcPr>
            <w:tcW w:w="1424" w:type="dxa"/>
            <w:shd w:val="clear" w:color="auto" w:fill="A6CE39"/>
            <w:vAlign w:val="center"/>
          </w:tcPr>
          <w:p w14:paraId="67F35A4E" w14:textId="77777777" w:rsidR="00AA55B9" w:rsidRPr="00383B19" w:rsidRDefault="00AA55B9" w:rsidP="005248B7">
            <w:pPr>
              <w:jc w:val="center"/>
              <w:rPr>
                <w:b/>
                <w:sz w:val="24"/>
              </w:rPr>
            </w:pPr>
            <w:r w:rsidRPr="00383B19">
              <w:rPr>
                <w:b/>
                <w:sz w:val="24"/>
              </w:rPr>
              <w:t>Standard Term</w:t>
            </w:r>
          </w:p>
        </w:tc>
        <w:tc>
          <w:tcPr>
            <w:tcW w:w="4093" w:type="dxa"/>
            <w:shd w:val="clear" w:color="auto" w:fill="A6CE39"/>
            <w:vAlign w:val="center"/>
          </w:tcPr>
          <w:p w14:paraId="7DDC5B0B" w14:textId="77777777" w:rsidR="00AA55B9" w:rsidRPr="00383B19" w:rsidRDefault="00AA55B9" w:rsidP="005248B7">
            <w:pPr>
              <w:jc w:val="center"/>
              <w:rPr>
                <w:b/>
                <w:sz w:val="24"/>
              </w:rPr>
            </w:pPr>
            <w:r w:rsidRPr="00383B19">
              <w:rPr>
                <w:b/>
                <w:sz w:val="24"/>
              </w:rPr>
              <w:t>Definition</w:t>
            </w:r>
          </w:p>
        </w:tc>
        <w:tc>
          <w:tcPr>
            <w:tcW w:w="2869" w:type="dxa"/>
            <w:shd w:val="clear" w:color="auto" w:fill="A6CE39"/>
            <w:vAlign w:val="center"/>
          </w:tcPr>
          <w:p w14:paraId="099DA6BE" w14:textId="77777777" w:rsidR="00AA55B9" w:rsidRPr="00383B19" w:rsidRDefault="00AA55B9" w:rsidP="005248B7">
            <w:pPr>
              <w:jc w:val="center"/>
              <w:rPr>
                <w:b/>
                <w:sz w:val="24"/>
              </w:rPr>
            </w:pPr>
            <w:r w:rsidRPr="00383B19">
              <w:rPr>
                <w:b/>
                <w:sz w:val="24"/>
              </w:rPr>
              <w:t>Methodological Consideration</w:t>
            </w:r>
            <w:r>
              <w:rPr>
                <w:b/>
                <w:sz w:val="24"/>
              </w:rPr>
              <w:t>s</w:t>
            </w:r>
          </w:p>
        </w:tc>
        <w:tc>
          <w:tcPr>
            <w:tcW w:w="2647" w:type="dxa"/>
            <w:shd w:val="clear" w:color="auto" w:fill="A6CE39"/>
          </w:tcPr>
          <w:p w14:paraId="00127050" w14:textId="77777777" w:rsidR="00AA55B9" w:rsidRPr="00383B19" w:rsidRDefault="00AA55B9" w:rsidP="005248B7">
            <w:pPr>
              <w:jc w:val="center"/>
              <w:rPr>
                <w:b/>
                <w:sz w:val="24"/>
              </w:rPr>
            </w:pPr>
            <w:r>
              <w:rPr>
                <w:b/>
                <w:sz w:val="24"/>
              </w:rPr>
              <w:t>Example Indicator</w:t>
            </w:r>
          </w:p>
        </w:tc>
        <w:tc>
          <w:tcPr>
            <w:tcW w:w="2647" w:type="dxa"/>
            <w:shd w:val="clear" w:color="auto" w:fill="A6CE39"/>
            <w:vAlign w:val="center"/>
          </w:tcPr>
          <w:p w14:paraId="5E6B63C2" w14:textId="77777777" w:rsidR="00AA55B9" w:rsidRPr="00383B19" w:rsidRDefault="00AA55B9" w:rsidP="005248B7">
            <w:pPr>
              <w:jc w:val="center"/>
              <w:rPr>
                <w:b/>
                <w:sz w:val="24"/>
              </w:rPr>
            </w:pPr>
            <w:r w:rsidRPr="00383B19">
              <w:rPr>
                <w:b/>
                <w:sz w:val="24"/>
              </w:rPr>
              <w:t>External Guidance</w:t>
            </w:r>
          </w:p>
        </w:tc>
      </w:tr>
      <w:tr w:rsidR="00EC6382" w14:paraId="32608132" w14:textId="77777777" w:rsidTr="001A06C1">
        <w:tc>
          <w:tcPr>
            <w:tcW w:w="1424" w:type="dxa"/>
            <w:shd w:val="clear" w:color="auto" w:fill="auto"/>
          </w:tcPr>
          <w:p w14:paraId="00484C16" w14:textId="4320D094" w:rsidR="00EC6382" w:rsidRPr="00383B19" w:rsidRDefault="00EC6382" w:rsidP="00EC6382">
            <w:pPr>
              <w:rPr>
                <w:rFonts w:ascii="Calibri" w:hAnsi="Calibri"/>
                <w:b/>
                <w:color w:val="000000"/>
              </w:rPr>
            </w:pPr>
            <w:r w:rsidRPr="00383B19">
              <w:rPr>
                <w:rFonts w:ascii="Calibri" w:hAnsi="Calibri"/>
                <w:b/>
                <w:bCs/>
                <w:color w:val="000000"/>
              </w:rPr>
              <w:t xml:space="preserve">Access to </w:t>
            </w:r>
            <w:r>
              <w:rPr>
                <w:rFonts w:ascii="Calibri" w:hAnsi="Calibri"/>
                <w:b/>
                <w:bCs/>
                <w:color w:val="000000"/>
              </w:rPr>
              <w:t>Financial Services</w:t>
            </w:r>
          </w:p>
        </w:tc>
        <w:tc>
          <w:tcPr>
            <w:tcW w:w="4093" w:type="dxa"/>
            <w:shd w:val="clear" w:color="auto" w:fill="auto"/>
          </w:tcPr>
          <w:p w14:paraId="12915555" w14:textId="68CAAA06" w:rsidR="00EC6382" w:rsidRDefault="00EC6382" w:rsidP="00EC6382">
            <w:pPr>
              <w:rPr>
                <w:rFonts w:ascii="Calibri" w:hAnsi="Calibri"/>
                <w:i/>
                <w:iCs/>
                <w:color w:val="000000"/>
              </w:rPr>
            </w:pPr>
            <w:r>
              <w:rPr>
                <w:rFonts w:ascii="Calibri" w:hAnsi="Calibri"/>
                <w:i/>
                <w:iCs/>
                <w:color w:val="000000"/>
              </w:rPr>
              <w:t>Since access to financial services can mean physical access (e.g. distance, status of roads, geographic coverage of institution branches) and institutional access (e.g. VSLA membership, cooperative insurance, etc.), there is not a standard definition and any indicator(s) must be context-specific.</w:t>
            </w:r>
          </w:p>
          <w:p w14:paraId="6C834690" w14:textId="77777777" w:rsidR="00EC6382" w:rsidRDefault="00EC6382" w:rsidP="00EC6382">
            <w:pPr>
              <w:rPr>
                <w:rFonts w:ascii="Calibri" w:hAnsi="Calibri"/>
                <w:i/>
                <w:iCs/>
                <w:color w:val="000000"/>
              </w:rPr>
            </w:pPr>
          </w:p>
          <w:p w14:paraId="0336FFDC" w14:textId="72A0DBC7" w:rsidR="00EC6382" w:rsidRPr="00037309" w:rsidRDefault="00EC6382" w:rsidP="00EC6382">
            <w:pPr>
              <w:rPr>
                <w:rFonts w:ascii="Calibri" w:hAnsi="Calibri"/>
                <w:i/>
                <w:color w:val="000000"/>
              </w:rPr>
            </w:pPr>
            <w:r w:rsidRPr="00037309">
              <w:rPr>
                <w:rFonts w:ascii="Calibri" w:hAnsi="Calibri"/>
                <w:b/>
                <w:i/>
                <w:color w:val="000000"/>
              </w:rPr>
              <w:t>Physical Access:</w:t>
            </w:r>
            <w:r w:rsidRPr="00037309">
              <w:rPr>
                <w:rFonts w:ascii="Calibri" w:hAnsi="Calibri"/>
                <w:i/>
                <w:color w:val="000000"/>
              </w:rPr>
              <w:t xml:space="preserve"> Distance to </w:t>
            </w:r>
            <w:r w:rsidR="00692E31">
              <w:rPr>
                <w:rFonts w:ascii="Calibri" w:hAnsi="Calibri"/>
                <w:i/>
                <w:color w:val="000000"/>
              </w:rPr>
              <w:t>bank branch</w:t>
            </w:r>
            <w:r w:rsidRPr="00037309">
              <w:rPr>
                <w:rFonts w:ascii="Calibri" w:hAnsi="Calibri"/>
                <w:i/>
                <w:color w:val="000000"/>
              </w:rPr>
              <w:t xml:space="preserve">, road(s) to </w:t>
            </w:r>
            <w:r w:rsidR="00692E31">
              <w:rPr>
                <w:rFonts w:ascii="Calibri" w:hAnsi="Calibri"/>
                <w:i/>
                <w:color w:val="000000"/>
              </w:rPr>
              <w:t>branch</w:t>
            </w:r>
            <w:r w:rsidRPr="00037309">
              <w:rPr>
                <w:rFonts w:ascii="Calibri" w:hAnsi="Calibri"/>
                <w:i/>
                <w:color w:val="000000"/>
              </w:rPr>
              <w:t xml:space="preserve">, time to reach </w:t>
            </w:r>
            <w:r w:rsidR="00692E31">
              <w:rPr>
                <w:rFonts w:ascii="Calibri" w:hAnsi="Calibri"/>
                <w:i/>
                <w:color w:val="000000"/>
              </w:rPr>
              <w:t>branch</w:t>
            </w:r>
            <w:r w:rsidRPr="00037309">
              <w:rPr>
                <w:rFonts w:ascii="Calibri" w:hAnsi="Calibri"/>
                <w:i/>
                <w:color w:val="000000"/>
              </w:rPr>
              <w:t xml:space="preserve">, </w:t>
            </w:r>
            <w:r w:rsidR="00692E31">
              <w:rPr>
                <w:rFonts w:ascii="Calibri" w:hAnsi="Calibri"/>
                <w:i/>
                <w:color w:val="000000"/>
              </w:rPr>
              <w:t xml:space="preserve">number of branches in region, </w:t>
            </w:r>
            <w:r w:rsidRPr="00037309">
              <w:rPr>
                <w:rFonts w:ascii="Calibri" w:hAnsi="Calibri"/>
                <w:i/>
                <w:color w:val="000000"/>
              </w:rPr>
              <w:t>etc.</w:t>
            </w:r>
          </w:p>
          <w:p w14:paraId="70024840" w14:textId="77777777" w:rsidR="00EC6382" w:rsidRPr="00037309" w:rsidRDefault="00EC6382" w:rsidP="00EC6382">
            <w:pPr>
              <w:rPr>
                <w:rFonts w:ascii="Calibri" w:hAnsi="Calibri"/>
                <w:i/>
                <w:color w:val="000000"/>
              </w:rPr>
            </w:pPr>
          </w:p>
          <w:p w14:paraId="709B9B64" w14:textId="52A99D2E" w:rsidR="00EC6382" w:rsidRDefault="00EC6382" w:rsidP="00EC6382">
            <w:pPr>
              <w:rPr>
                <w:rFonts w:ascii="Calibri" w:hAnsi="Calibri"/>
                <w:color w:val="000000"/>
              </w:rPr>
            </w:pPr>
            <w:r w:rsidRPr="00037309">
              <w:rPr>
                <w:rFonts w:ascii="Calibri" w:hAnsi="Calibri"/>
                <w:b/>
                <w:i/>
                <w:color w:val="000000"/>
              </w:rPr>
              <w:t>Institutional Access:</w:t>
            </w:r>
            <w:r w:rsidRPr="00037309">
              <w:rPr>
                <w:rFonts w:ascii="Calibri" w:hAnsi="Calibri"/>
                <w:i/>
                <w:color w:val="000000"/>
              </w:rPr>
              <w:t xml:space="preserve"> </w:t>
            </w:r>
            <w:r>
              <w:rPr>
                <w:rFonts w:ascii="Calibri" w:hAnsi="Calibri"/>
                <w:i/>
                <w:color w:val="000000"/>
              </w:rPr>
              <w:t>VSLA membership, loans to c</w:t>
            </w:r>
            <w:r w:rsidRPr="00037309">
              <w:rPr>
                <w:rFonts w:ascii="Calibri" w:hAnsi="Calibri"/>
                <w:i/>
                <w:color w:val="000000"/>
              </w:rPr>
              <w:t>ooperative</w:t>
            </w:r>
            <w:r>
              <w:rPr>
                <w:rFonts w:ascii="Calibri" w:hAnsi="Calibri"/>
                <w:i/>
                <w:color w:val="000000"/>
              </w:rPr>
              <w:t>s</w:t>
            </w:r>
            <w:r w:rsidRPr="00037309">
              <w:rPr>
                <w:rFonts w:ascii="Calibri" w:hAnsi="Calibri"/>
                <w:i/>
                <w:color w:val="000000"/>
              </w:rPr>
              <w:t xml:space="preserve">, </w:t>
            </w:r>
            <w:r>
              <w:rPr>
                <w:rFonts w:ascii="Calibri" w:hAnsi="Calibri"/>
                <w:i/>
                <w:color w:val="000000"/>
              </w:rPr>
              <w:t>cooperative insurance</w:t>
            </w:r>
            <w:r w:rsidRPr="00037309">
              <w:rPr>
                <w:rFonts w:ascii="Calibri" w:hAnsi="Calibri"/>
                <w:i/>
                <w:color w:val="000000"/>
              </w:rPr>
              <w:t>, etc.</w:t>
            </w:r>
          </w:p>
        </w:tc>
        <w:tc>
          <w:tcPr>
            <w:tcW w:w="2869" w:type="dxa"/>
            <w:shd w:val="clear" w:color="auto" w:fill="auto"/>
          </w:tcPr>
          <w:p w14:paraId="1CA53C66" w14:textId="1C7E8635" w:rsidR="00EC6382" w:rsidRDefault="00EC6382" w:rsidP="00EC6382">
            <w:pPr>
              <w:rPr>
                <w:rFonts w:ascii="Calibri" w:hAnsi="Calibri"/>
                <w:color w:val="000000"/>
              </w:rPr>
            </w:pPr>
            <w:r>
              <w:rPr>
                <w:rFonts w:ascii="Calibri" w:hAnsi="Calibri"/>
                <w:i/>
                <w:color w:val="000000"/>
              </w:rPr>
              <w:t xml:space="preserve">It may be necessary to craft multiple indicators related </w:t>
            </w:r>
            <w:r w:rsidR="00515E8B">
              <w:rPr>
                <w:rFonts w:ascii="Calibri" w:hAnsi="Calibri"/>
                <w:i/>
                <w:color w:val="000000"/>
              </w:rPr>
              <w:t xml:space="preserve">to </w:t>
            </w:r>
            <w:r>
              <w:rPr>
                <w:rFonts w:ascii="Calibri" w:hAnsi="Calibri"/>
                <w:i/>
                <w:color w:val="000000"/>
              </w:rPr>
              <w:t>access to different forms of financial services in order to address the context of a particular project</w:t>
            </w:r>
          </w:p>
        </w:tc>
        <w:tc>
          <w:tcPr>
            <w:tcW w:w="2647" w:type="dxa"/>
          </w:tcPr>
          <w:p w14:paraId="2E8E1B22" w14:textId="41E99FEA" w:rsidR="00EC6382" w:rsidRDefault="00EC6382" w:rsidP="00EC6382">
            <w:r>
              <w:t xml:space="preserve">Average </w:t>
            </w:r>
            <w:r w:rsidR="00515E8B">
              <w:t>distance (in k</w:t>
            </w:r>
            <w:r w:rsidR="005B2777">
              <w:t>m</w:t>
            </w:r>
            <w:r w:rsidR="00515E8B">
              <w:t>)</w:t>
            </w:r>
            <w:r>
              <w:t xml:space="preserve"> traveled by </w:t>
            </w:r>
            <w:r w:rsidR="005B2777">
              <w:t>participants</w:t>
            </w:r>
            <w:r>
              <w:t xml:space="preserve"> to</w:t>
            </w:r>
            <w:r w:rsidR="00692E31">
              <w:t xml:space="preserve"> make deposit</w:t>
            </w:r>
          </w:p>
          <w:p w14:paraId="1CB3C40A" w14:textId="77777777" w:rsidR="00EC6382" w:rsidRDefault="00EC6382" w:rsidP="00EC6382"/>
          <w:p w14:paraId="3774818F" w14:textId="4B41B7B4" w:rsidR="00EC6382" w:rsidRDefault="005B2777" w:rsidP="00EC6382">
            <w:r>
              <w:t>#</w:t>
            </w:r>
            <w:r w:rsidR="00EC6382">
              <w:t xml:space="preserve"> of improved roads linking producers to </w:t>
            </w:r>
            <w:r w:rsidR="00692E31">
              <w:t>formal financial institution</w:t>
            </w:r>
          </w:p>
          <w:p w14:paraId="0B9B2132" w14:textId="77777777" w:rsidR="00EC6382" w:rsidRDefault="00EC6382" w:rsidP="00EC6382"/>
          <w:p w14:paraId="59553143" w14:textId="2713029E" w:rsidR="00EC6382" w:rsidRDefault="00692E31" w:rsidP="00EC6382">
            <w:r>
              <w:t>Value of total VSLA savings</w:t>
            </w:r>
          </w:p>
          <w:p w14:paraId="344FB6B9" w14:textId="77777777" w:rsidR="00EC6382" w:rsidRDefault="00EC6382" w:rsidP="00EC6382"/>
          <w:p w14:paraId="0A0ADAAB" w14:textId="08533F6D" w:rsidR="00EC6382" w:rsidRPr="00B44BFF" w:rsidRDefault="005B2777" w:rsidP="00EC6382">
            <w:r>
              <w:t>#</w:t>
            </w:r>
            <w:r w:rsidR="00692E31">
              <w:t xml:space="preserve"> of loans distributed by VSLA</w:t>
            </w:r>
          </w:p>
        </w:tc>
        <w:tc>
          <w:tcPr>
            <w:tcW w:w="2647" w:type="dxa"/>
          </w:tcPr>
          <w:p w14:paraId="5D737BC8" w14:textId="77777777" w:rsidR="00EC6382" w:rsidRDefault="00EC6382" w:rsidP="00EC6382"/>
        </w:tc>
      </w:tr>
      <w:tr w:rsidR="00A37353" w14:paraId="0F187CCC" w14:textId="77777777" w:rsidTr="001A06C1">
        <w:tc>
          <w:tcPr>
            <w:tcW w:w="1424" w:type="dxa"/>
            <w:shd w:val="clear" w:color="auto" w:fill="auto"/>
          </w:tcPr>
          <w:p w14:paraId="14B12D6D" w14:textId="77777777" w:rsidR="00A37353" w:rsidRPr="00B44BFF" w:rsidRDefault="00A37353" w:rsidP="00F310D4">
            <w:pPr>
              <w:rPr>
                <w:rFonts w:ascii="Calibri" w:hAnsi="Calibri"/>
                <w:b/>
                <w:color w:val="000000"/>
              </w:rPr>
            </w:pPr>
            <w:r w:rsidRPr="00383B19">
              <w:rPr>
                <w:rFonts w:ascii="Calibri" w:hAnsi="Calibri"/>
                <w:b/>
                <w:color w:val="000000"/>
              </w:rPr>
              <w:t>Cost of Inputs (IC)</w:t>
            </w:r>
          </w:p>
        </w:tc>
        <w:tc>
          <w:tcPr>
            <w:tcW w:w="4093" w:type="dxa"/>
            <w:shd w:val="clear" w:color="auto" w:fill="auto"/>
          </w:tcPr>
          <w:p w14:paraId="6C287314" w14:textId="77777777" w:rsidR="00A37353" w:rsidRDefault="00A37353" w:rsidP="00F310D4">
            <w:pPr>
              <w:rPr>
                <w:rFonts w:ascii="Calibri" w:hAnsi="Calibri"/>
                <w:color w:val="000000"/>
              </w:rPr>
            </w:pPr>
            <w:r>
              <w:rPr>
                <w:rFonts w:ascii="Calibri" w:hAnsi="Calibri"/>
                <w:color w:val="000000"/>
              </w:rPr>
              <w:t xml:space="preserve">Monetary value of all agricultural inputs. </w:t>
            </w:r>
          </w:p>
          <w:p w14:paraId="66D3C737" w14:textId="77777777" w:rsidR="00A37353" w:rsidRDefault="00A37353" w:rsidP="00F310D4">
            <w:pPr>
              <w:rPr>
                <w:rFonts w:ascii="Calibri" w:hAnsi="Calibri"/>
                <w:color w:val="000000"/>
              </w:rPr>
            </w:pPr>
          </w:p>
          <w:p w14:paraId="658E7A0C" w14:textId="77777777" w:rsidR="00A37353" w:rsidRPr="00B44BFF" w:rsidRDefault="00A37353" w:rsidP="00F310D4">
            <w:pPr>
              <w:rPr>
                <w:rFonts w:ascii="Calibri" w:hAnsi="Calibri"/>
                <w:color w:val="000000"/>
              </w:rPr>
            </w:pPr>
            <w:r>
              <w:rPr>
                <w:rFonts w:ascii="Calibri" w:hAnsi="Calibri"/>
                <w:color w:val="000000"/>
              </w:rPr>
              <w:t>Cost of inputs includes the monetized cost of labor, services and the cost of agricultural inputs (e.g. seeds, fertilizer, water, fuel, tools, etc.)</w:t>
            </w:r>
          </w:p>
        </w:tc>
        <w:tc>
          <w:tcPr>
            <w:tcW w:w="2869" w:type="dxa"/>
            <w:shd w:val="clear" w:color="auto" w:fill="auto"/>
          </w:tcPr>
          <w:p w14:paraId="25ECFBDF" w14:textId="77777777" w:rsidR="00A37353" w:rsidRPr="00B44BFF" w:rsidRDefault="00A37353" w:rsidP="00F310D4">
            <w:pPr>
              <w:rPr>
                <w:rFonts w:ascii="Calibri" w:hAnsi="Calibri"/>
                <w:color w:val="000000"/>
              </w:rPr>
            </w:pPr>
            <w:r>
              <w:rPr>
                <w:rFonts w:ascii="Calibri" w:hAnsi="Calibri"/>
                <w:color w:val="000000"/>
              </w:rPr>
              <w:t>Consider if there are any expenses associated with accessing financial services, e.g. cooperative membership fees.</w:t>
            </w:r>
          </w:p>
        </w:tc>
        <w:tc>
          <w:tcPr>
            <w:tcW w:w="2647" w:type="dxa"/>
          </w:tcPr>
          <w:p w14:paraId="0F8767DE" w14:textId="77777777" w:rsidR="00A37353" w:rsidRPr="00B44BFF" w:rsidRDefault="00A37353" w:rsidP="00F310D4"/>
        </w:tc>
        <w:tc>
          <w:tcPr>
            <w:tcW w:w="2647" w:type="dxa"/>
          </w:tcPr>
          <w:p w14:paraId="58A8588F" w14:textId="77777777" w:rsidR="00A37353" w:rsidRDefault="00A37353" w:rsidP="00F310D4">
            <w:r>
              <w:t>See Gross Margin</w:t>
            </w:r>
          </w:p>
          <w:p w14:paraId="4D5A4688" w14:textId="77777777" w:rsidR="00A37353" w:rsidRDefault="00A37353" w:rsidP="00F310D4"/>
          <w:p w14:paraId="1B50AE6B" w14:textId="77777777" w:rsidR="00A37353" w:rsidRDefault="009F311F" w:rsidP="00F310D4">
            <w:hyperlink r:id="rId49" w:history="1">
              <w:r w:rsidR="00A37353" w:rsidRPr="00FD53C3">
                <w:rPr>
                  <w:rStyle w:val="Hyperlink"/>
                </w:rPr>
                <w:t>https://agrilinks.org/sites/default/files/resource/files/FTF_Agriculture_Guide_Jan2014.pdf</w:t>
              </w:r>
            </w:hyperlink>
            <w:r w:rsidR="00A37353">
              <w:t xml:space="preserve"> </w:t>
            </w:r>
          </w:p>
          <w:p w14:paraId="013FFEA4" w14:textId="77777777" w:rsidR="00A37353" w:rsidRPr="00B44BFF" w:rsidRDefault="00A37353" w:rsidP="00F310D4">
            <w:r>
              <w:t>Appendix 8 pg. 101, Appendix 9 pg. 103</w:t>
            </w:r>
          </w:p>
        </w:tc>
      </w:tr>
      <w:tr w:rsidR="00A37353" w14:paraId="503B9D8C" w14:textId="77777777" w:rsidTr="001A06C1">
        <w:tc>
          <w:tcPr>
            <w:tcW w:w="1424" w:type="dxa"/>
            <w:shd w:val="clear" w:color="auto" w:fill="auto"/>
          </w:tcPr>
          <w:p w14:paraId="39785FD3" w14:textId="77777777" w:rsidR="00A37353" w:rsidRPr="00B44BFF" w:rsidRDefault="00A37353" w:rsidP="0002595D">
            <w:pPr>
              <w:rPr>
                <w:rFonts w:ascii="Calibri" w:hAnsi="Calibri"/>
                <w:b/>
                <w:color w:val="000000"/>
              </w:rPr>
            </w:pPr>
            <w:r>
              <w:rPr>
                <w:rFonts w:ascii="Calibri" w:hAnsi="Calibri"/>
                <w:b/>
                <w:bCs/>
                <w:color w:val="000000"/>
              </w:rPr>
              <w:t>Credit</w:t>
            </w:r>
          </w:p>
        </w:tc>
        <w:tc>
          <w:tcPr>
            <w:tcW w:w="4093" w:type="dxa"/>
            <w:shd w:val="clear" w:color="auto" w:fill="auto"/>
          </w:tcPr>
          <w:p w14:paraId="5A00EC18" w14:textId="1760AE9B" w:rsidR="00A37353" w:rsidRPr="00B44BFF" w:rsidRDefault="00EC78D3" w:rsidP="0002595D">
            <w:pPr>
              <w:rPr>
                <w:rFonts w:ascii="Calibri" w:hAnsi="Calibri"/>
                <w:color w:val="000000"/>
              </w:rPr>
            </w:pPr>
            <w:r>
              <w:rPr>
                <w:rFonts w:ascii="Calibri" w:hAnsi="Calibri"/>
                <w:color w:val="000000"/>
              </w:rPr>
              <w:t>“Credit is an amount for which there is a specific obligation of repayment. Credits include loans, trade credits, bonds, bills and other agreements which give rise to specific obligations to repay over a period of time</w:t>
            </w:r>
            <w:r w:rsidR="00515E8B">
              <w:rPr>
                <w:rFonts w:ascii="Calibri" w:hAnsi="Calibri"/>
                <w:color w:val="000000"/>
              </w:rPr>
              <w:t>,</w:t>
            </w:r>
            <w:r>
              <w:rPr>
                <w:rFonts w:ascii="Calibri" w:hAnsi="Calibri"/>
                <w:color w:val="000000"/>
              </w:rPr>
              <w:t xml:space="preserve"> usually</w:t>
            </w:r>
            <w:r w:rsidR="00515E8B">
              <w:rPr>
                <w:rFonts w:ascii="Calibri" w:hAnsi="Calibri"/>
                <w:color w:val="000000"/>
              </w:rPr>
              <w:t xml:space="preserve"> -</w:t>
            </w:r>
            <w:r>
              <w:rPr>
                <w:rFonts w:ascii="Calibri" w:hAnsi="Calibri"/>
                <w:color w:val="000000"/>
              </w:rPr>
              <w:t xml:space="preserve"> but not always</w:t>
            </w:r>
            <w:r w:rsidR="00515E8B">
              <w:rPr>
                <w:rFonts w:ascii="Calibri" w:hAnsi="Calibri"/>
                <w:color w:val="000000"/>
              </w:rPr>
              <w:t xml:space="preserve"> -</w:t>
            </w:r>
            <w:r>
              <w:rPr>
                <w:rFonts w:ascii="Calibri" w:hAnsi="Calibri"/>
                <w:color w:val="000000"/>
              </w:rPr>
              <w:t xml:space="preserve"> with interest.”</w:t>
            </w:r>
          </w:p>
        </w:tc>
        <w:tc>
          <w:tcPr>
            <w:tcW w:w="2869" w:type="dxa"/>
            <w:shd w:val="clear" w:color="auto" w:fill="auto"/>
          </w:tcPr>
          <w:p w14:paraId="706E2CFB" w14:textId="77777777" w:rsidR="00A37353" w:rsidRPr="00B44BFF" w:rsidRDefault="00A37353" w:rsidP="0002595D">
            <w:pPr>
              <w:rPr>
                <w:rFonts w:ascii="Calibri" w:hAnsi="Calibri"/>
                <w:color w:val="000000"/>
              </w:rPr>
            </w:pPr>
          </w:p>
        </w:tc>
        <w:tc>
          <w:tcPr>
            <w:tcW w:w="2647" w:type="dxa"/>
          </w:tcPr>
          <w:p w14:paraId="4DC09856" w14:textId="66A62ED4" w:rsidR="00A37353" w:rsidRDefault="00630333" w:rsidP="0002595D">
            <w:r>
              <w:t>#</w:t>
            </w:r>
            <w:r w:rsidR="00A37353">
              <w:t xml:space="preserve"> of farmer organizations with access to financial services and/or credit</w:t>
            </w:r>
          </w:p>
          <w:p w14:paraId="70A0FE85" w14:textId="77777777" w:rsidR="00A37353" w:rsidRDefault="00A37353" w:rsidP="0002595D"/>
          <w:p w14:paraId="6B512801" w14:textId="6EE36016" w:rsidR="00A37353" w:rsidRDefault="00630333" w:rsidP="0002595D">
            <w:r>
              <w:t>#</w:t>
            </w:r>
            <w:r w:rsidR="00A37353">
              <w:t xml:space="preserve"> of </w:t>
            </w:r>
            <w:r w:rsidR="00B97A05">
              <w:t>participants</w:t>
            </w:r>
            <w:r w:rsidR="00A37353">
              <w:t xml:space="preserve"> with access to financial services and/or credit</w:t>
            </w:r>
          </w:p>
          <w:p w14:paraId="23789996" w14:textId="77777777" w:rsidR="00A37353" w:rsidRDefault="00A37353" w:rsidP="0002595D"/>
          <w:p w14:paraId="64A8E6A2" w14:textId="7BC2C86D" w:rsidR="00A37353" w:rsidRPr="00B44BFF" w:rsidRDefault="00E7388B" w:rsidP="00B97A05">
            <w:r>
              <w:t>*</w:t>
            </w:r>
            <w:r w:rsidR="00B97A05">
              <w:t>Disaggregate participants</w:t>
            </w:r>
          </w:p>
        </w:tc>
        <w:tc>
          <w:tcPr>
            <w:tcW w:w="2647" w:type="dxa"/>
          </w:tcPr>
          <w:p w14:paraId="3EA4B835" w14:textId="202E78BB" w:rsidR="00A37353" w:rsidRPr="00B44BFF" w:rsidRDefault="009F311F" w:rsidP="0002595D">
            <w:hyperlink r:id="rId50" w:anchor="page111" w:history="1">
              <w:r w:rsidR="00EC78D3" w:rsidRPr="0070453B">
                <w:rPr>
                  <w:rStyle w:val="Hyperlink"/>
                </w:rPr>
                <w:t>http://www.keepeek.com/Digital-Asset-Management/oecd/economics/oecd-glossary-of-statistical-terms_9789264055087-en#page111</w:t>
              </w:r>
            </w:hyperlink>
            <w:r w:rsidR="00EC78D3">
              <w:t xml:space="preserve"> </w:t>
            </w:r>
          </w:p>
        </w:tc>
      </w:tr>
      <w:tr w:rsidR="00A37353" w14:paraId="3DA1EA29" w14:textId="77777777" w:rsidTr="001A06C1">
        <w:tc>
          <w:tcPr>
            <w:tcW w:w="1424" w:type="dxa"/>
            <w:shd w:val="clear" w:color="auto" w:fill="auto"/>
          </w:tcPr>
          <w:p w14:paraId="1A17EAF7" w14:textId="36B79486" w:rsidR="00A37353" w:rsidRPr="00B44BFF" w:rsidRDefault="0046783E" w:rsidP="0046783E">
            <w:pPr>
              <w:rPr>
                <w:rFonts w:ascii="Calibri" w:hAnsi="Calibri"/>
                <w:b/>
                <w:bCs/>
                <w:color w:val="000000"/>
              </w:rPr>
            </w:pPr>
            <w:r>
              <w:rPr>
                <w:rFonts w:ascii="Calibri" w:hAnsi="Calibri"/>
                <w:b/>
                <w:bCs/>
                <w:color w:val="000000"/>
              </w:rPr>
              <w:t>Default Rate</w:t>
            </w:r>
          </w:p>
        </w:tc>
        <w:tc>
          <w:tcPr>
            <w:tcW w:w="4093" w:type="dxa"/>
            <w:shd w:val="clear" w:color="auto" w:fill="auto"/>
          </w:tcPr>
          <w:p w14:paraId="23739DB5" w14:textId="77777777" w:rsidR="00A37353" w:rsidRDefault="00A37353" w:rsidP="0002595D">
            <w:pPr>
              <w:rPr>
                <w:rFonts w:ascii="Calibri" w:hAnsi="Calibri"/>
                <w:color w:val="000000"/>
              </w:rPr>
            </w:pPr>
            <w:r>
              <w:rPr>
                <w:rFonts w:ascii="Calibri" w:hAnsi="Calibri"/>
                <w:color w:val="000000"/>
              </w:rPr>
              <w:t xml:space="preserve">The rate of individuals or cooperatives within a sample that fall behind on payments and are unable to repay their loan. </w:t>
            </w:r>
          </w:p>
          <w:p w14:paraId="2575ECB7" w14:textId="77777777" w:rsidR="0046783E" w:rsidRDefault="0046783E" w:rsidP="0002595D">
            <w:pPr>
              <w:rPr>
                <w:rFonts w:ascii="Calibri" w:hAnsi="Calibri"/>
                <w:color w:val="000000"/>
              </w:rPr>
            </w:pPr>
          </w:p>
          <w:p w14:paraId="229DB6D0" w14:textId="3BC998E5" w:rsidR="0046783E" w:rsidRPr="00B44BFF" w:rsidRDefault="0046783E" w:rsidP="0002595D">
            <w:pPr>
              <w:rPr>
                <w:rFonts w:ascii="Calibri" w:hAnsi="Calibri"/>
                <w:color w:val="000000"/>
              </w:rPr>
            </w:pPr>
            <w:r>
              <w:rPr>
                <w:rFonts w:ascii="Calibri" w:hAnsi="Calibri"/>
                <w:color w:val="000000"/>
              </w:rPr>
              <w:t>Projects can alternatively measure repayment rate</w:t>
            </w:r>
          </w:p>
        </w:tc>
        <w:tc>
          <w:tcPr>
            <w:tcW w:w="2869" w:type="dxa"/>
            <w:shd w:val="clear" w:color="auto" w:fill="auto"/>
          </w:tcPr>
          <w:p w14:paraId="177AFC11" w14:textId="77777777" w:rsidR="00A37353" w:rsidRPr="00B44BFF" w:rsidRDefault="00A37353" w:rsidP="0002595D">
            <w:pPr>
              <w:rPr>
                <w:rFonts w:ascii="Calibri" w:hAnsi="Calibri"/>
                <w:color w:val="000000"/>
              </w:rPr>
            </w:pPr>
            <w:r>
              <w:rPr>
                <w:rFonts w:ascii="Calibri" w:hAnsi="Calibri"/>
                <w:color w:val="000000"/>
              </w:rPr>
              <w:t xml:space="preserve">How many missed or late payments qualify as delinquency? Make sure to examine the reason why loans were unable to be repaid. </w:t>
            </w:r>
          </w:p>
        </w:tc>
        <w:tc>
          <w:tcPr>
            <w:tcW w:w="2647" w:type="dxa"/>
          </w:tcPr>
          <w:p w14:paraId="66890F6F" w14:textId="77777777" w:rsidR="00A37353" w:rsidRDefault="00A37353" w:rsidP="0002595D">
            <w:pPr>
              <w:pStyle w:val="NoSpacing"/>
            </w:pPr>
            <w:r>
              <w:t>% repayments of loan funds</w:t>
            </w:r>
          </w:p>
          <w:p w14:paraId="3322093D" w14:textId="77777777" w:rsidR="00A37353" w:rsidRDefault="00A37353" w:rsidP="0002595D">
            <w:pPr>
              <w:pStyle w:val="NoSpacing"/>
            </w:pPr>
          </w:p>
          <w:p w14:paraId="6424DBFC" w14:textId="3BC942ED" w:rsidR="00A37353" w:rsidRPr="00B44BFF" w:rsidRDefault="00A37353" w:rsidP="0002595D">
            <w:pPr>
              <w:pStyle w:val="NoSpacing"/>
            </w:pPr>
            <w:r>
              <w:t>Outstanding loans by SMEs from financial cooperatives</w:t>
            </w:r>
          </w:p>
        </w:tc>
        <w:tc>
          <w:tcPr>
            <w:tcW w:w="2647" w:type="dxa"/>
          </w:tcPr>
          <w:p w14:paraId="75183B25" w14:textId="77777777" w:rsidR="00A37353" w:rsidRPr="00B44BFF" w:rsidRDefault="00A37353" w:rsidP="0002595D">
            <w:pPr>
              <w:pStyle w:val="NoSpacing"/>
            </w:pPr>
          </w:p>
        </w:tc>
      </w:tr>
      <w:tr w:rsidR="00A37353" w14:paraId="470427BB" w14:textId="77777777" w:rsidTr="001A06C1">
        <w:tc>
          <w:tcPr>
            <w:tcW w:w="1424" w:type="dxa"/>
            <w:shd w:val="clear" w:color="auto" w:fill="auto"/>
          </w:tcPr>
          <w:p w14:paraId="07A0FA25" w14:textId="77777777" w:rsidR="00A37353" w:rsidRPr="00B44BFF" w:rsidRDefault="00A37353" w:rsidP="0002595D">
            <w:pPr>
              <w:rPr>
                <w:rFonts w:ascii="Calibri" w:hAnsi="Calibri"/>
                <w:b/>
                <w:bCs/>
                <w:color w:val="000000"/>
              </w:rPr>
            </w:pPr>
            <w:r>
              <w:rPr>
                <w:rFonts w:ascii="Calibri" w:hAnsi="Calibri"/>
                <w:b/>
                <w:bCs/>
                <w:color w:val="000000"/>
              </w:rPr>
              <w:t>Financial service providers (FSPs)</w:t>
            </w:r>
          </w:p>
        </w:tc>
        <w:tc>
          <w:tcPr>
            <w:tcW w:w="4093" w:type="dxa"/>
            <w:shd w:val="clear" w:color="auto" w:fill="auto"/>
          </w:tcPr>
          <w:p w14:paraId="45A90959" w14:textId="77777777" w:rsidR="00A37353" w:rsidRDefault="00A37353" w:rsidP="0002595D">
            <w:pPr>
              <w:rPr>
                <w:rFonts w:ascii="Calibri" w:hAnsi="Calibri"/>
                <w:color w:val="000000"/>
              </w:rPr>
            </w:pPr>
            <w:r>
              <w:rPr>
                <w:rFonts w:ascii="Calibri" w:hAnsi="Calibri"/>
                <w:color w:val="000000"/>
              </w:rPr>
              <w:t xml:space="preserve">“Institutions and community groups that offer financial services, including commercial and development banks, non-bank financial institutions, cooperatives, savings and credit cooperative organizations (SACCOS), postal savings banks, self-help groups (SHGs), village savings and loan associations (VSLAs), financial service associations (FSAa), and even telecommunications providers, particularly in providing remittance services.” </w:t>
            </w:r>
          </w:p>
          <w:p w14:paraId="00D8861C" w14:textId="77777777" w:rsidR="00A37353" w:rsidRDefault="00A37353" w:rsidP="0002595D">
            <w:pPr>
              <w:rPr>
                <w:rFonts w:ascii="Calibri" w:hAnsi="Calibri"/>
                <w:color w:val="000000"/>
              </w:rPr>
            </w:pPr>
          </w:p>
          <w:p w14:paraId="0D9D8D6F" w14:textId="77777777" w:rsidR="00A37353" w:rsidRPr="00B44BFF" w:rsidRDefault="00A37353" w:rsidP="0002595D">
            <w:pPr>
              <w:rPr>
                <w:rFonts w:ascii="Calibri" w:hAnsi="Calibri"/>
                <w:color w:val="000000"/>
              </w:rPr>
            </w:pPr>
            <w:r>
              <w:rPr>
                <w:rFonts w:ascii="Calibri" w:hAnsi="Calibri"/>
                <w:color w:val="000000"/>
              </w:rPr>
              <w:t xml:space="preserve">These institutions are formal, semi-formal, and non-formal organizations. </w:t>
            </w:r>
          </w:p>
        </w:tc>
        <w:tc>
          <w:tcPr>
            <w:tcW w:w="2869" w:type="dxa"/>
            <w:shd w:val="clear" w:color="auto" w:fill="auto"/>
          </w:tcPr>
          <w:p w14:paraId="704783B6" w14:textId="77777777" w:rsidR="00A37353" w:rsidRPr="00B44BFF" w:rsidRDefault="00A37353" w:rsidP="0002595D">
            <w:pPr>
              <w:rPr>
                <w:rFonts w:ascii="Calibri" w:hAnsi="Calibri"/>
                <w:color w:val="000000"/>
              </w:rPr>
            </w:pPr>
          </w:p>
        </w:tc>
        <w:tc>
          <w:tcPr>
            <w:tcW w:w="2647" w:type="dxa"/>
          </w:tcPr>
          <w:p w14:paraId="0294BECA" w14:textId="3546FBB9" w:rsidR="00A37353" w:rsidRDefault="00630333" w:rsidP="0002595D">
            <w:r>
              <w:t>#</w:t>
            </w:r>
            <w:r w:rsidR="00A37353">
              <w:t xml:space="preserve"> of deposit taking microfinance institutions (MFIs)</w:t>
            </w:r>
          </w:p>
          <w:p w14:paraId="1F680933" w14:textId="77777777" w:rsidR="00A37353" w:rsidRDefault="00A37353" w:rsidP="0002595D"/>
          <w:p w14:paraId="5C3ACA53" w14:textId="2F754D48" w:rsidR="00A37353" w:rsidRPr="006F6ABE" w:rsidRDefault="00630333" w:rsidP="0002595D">
            <w:r>
              <w:t>#</w:t>
            </w:r>
            <w:r w:rsidR="00A37353">
              <w:t xml:space="preserve"> of </w:t>
            </w:r>
            <w:r w:rsidR="000423C0">
              <w:t>institutions branches per 1000 K</w:t>
            </w:r>
            <w:r w:rsidR="00A37353">
              <w:t>m</w:t>
            </w:r>
            <w:r w:rsidR="00A37353">
              <w:rPr>
                <w:vertAlign w:val="superscript"/>
              </w:rPr>
              <w:t>2</w:t>
            </w:r>
          </w:p>
        </w:tc>
        <w:tc>
          <w:tcPr>
            <w:tcW w:w="2647" w:type="dxa"/>
          </w:tcPr>
          <w:p w14:paraId="5670B967" w14:textId="77777777" w:rsidR="00A37353" w:rsidRDefault="009F311F" w:rsidP="0002595D">
            <w:hyperlink r:id="rId51" w:history="1">
              <w:r w:rsidR="00A37353" w:rsidRPr="00620F5B">
                <w:rPr>
                  <w:rStyle w:val="Hyperlink"/>
                </w:rPr>
                <w:t>http://www.ifad.org/ruralfinance/dt/full/dt_e_web.pdf</w:t>
              </w:r>
            </w:hyperlink>
          </w:p>
          <w:p w14:paraId="3D8589CC" w14:textId="77777777" w:rsidR="00A37353" w:rsidRPr="00B44BFF" w:rsidRDefault="00A37353" w:rsidP="0002595D">
            <w:r>
              <w:t>pg. 75</w:t>
            </w:r>
          </w:p>
        </w:tc>
      </w:tr>
      <w:tr w:rsidR="0068082C" w14:paraId="23B9E993" w14:textId="77777777" w:rsidTr="001A06C1">
        <w:tc>
          <w:tcPr>
            <w:tcW w:w="1424" w:type="dxa"/>
            <w:shd w:val="clear" w:color="auto" w:fill="auto"/>
          </w:tcPr>
          <w:p w14:paraId="0A1017E0" w14:textId="2E42735C" w:rsidR="0068082C" w:rsidRDefault="0068082C" w:rsidP="0002595D">
            <w:pPr>
              <w:rPr>
                <w:rFonts w:ascii="Calibri" w:hAnsi="Calibri"/>
                <w:b/>
                <w:bCs/>
                <w:color w:val="000000"/>
              </w:rPr>
            </w:pPr>
            <w:r>
              <w:rPr>
                <w:rFonts w:ascii="Calibri" w:hAnsi="Calibri"/>
                <w:b/>
                <w:bCs/>
                <w:color w:val="000000"/>
              </w:rPr>
              <w:t>Grant</w:t>
            </w:r>
          </w:p>
        </w:tc>
        <w:tc>
          <w:tcPr>
            <w:tcW w:w="4093" w:type="dxa"/>
            <w:shd w:val="clear" w:color="auto" w:fill="auto"/>
          </w:tcPr>
          <w:p w14:paraId="2670A09A" w14:textId="0EF344E7" w:rsidR="0068082C" w:rsidRDefault="0068082C" w:rsidP="0002595D">
            <w:pPr>
              <w:rPr>
                <w:rFonts w:ascii="Calibri" w:hAnsi="Calibri"/>
                <w:color w:val="000000"/>
                <w:bdr w:val="none" w:sz="0" w:space="0" w:color="auto" w:frame="1"/>
              </w:rPr>
            </w:pPr>
            <w:r w:rsidRPr="0068082C">
              <w:rPr>
                <w:rFonts w:ascii="Calibri" w:hAnsi="Calibri"/>
                <w:color w:val="000000"/>
                <w:bdr w:val="none" w:sz="0" w:space="0" w:color="auto" w:frame="1"/>
              </w:rPr>
              <w:t>Transfers made in cash, goods or services for which no repayment is required.</w:t>
            </w:r>
          </w:p>
        </w:tc>
        <w:tc>
          <w:tcPr>
            <w:tcW w:w="2869" w:type="dxa"/>
            <w:shd w:val="clear" w:color="auto" w:fill="auto"/>
          </w:tcPr>
          <w:p w14:paraId="49CE0CF3" w14:textId="77777777" w:rsidR="0068082C" w:rsidRPr="00B44BFF" w:rsidRDefault="0068082C" w:rsidP="0002595D">
            <w:pPr>
              <w:rPr>
                <w:rFonts w:ascii="Calibri" w:hAnsi="Calibri"/>
                <w:color w:val="000000"/>
              </w:rPr>
            </w:pPr>
          </w:p>
        </w:tc>
        <w:tc>
          <w:tcPr>
            <w:tcW w:w="2647" w:type="dxa"/>
          </w:tcPr>
          <w:p w14:paraId="00D3AF25" w14:textId="1FFB41DE" w:rsidR="0068082C" w:rsidRDefault="00A05131" w:rsidP="0002595D">
            <w:r>
              <w:t>Value of grants</w:t>
            </w:r>
          </w:p>
        </w:tc>
        <w:tc>
          <w:tcPr>
            <w:tcW w:w="2647" w:type="dxa"/>
          </w:tcPr>
          <w:p w14:paraId="53F2C69A" w14:textId="690A2DAD" w:rsidR="0068082C" w:rsidRDefault="009F311F" w:rsidP="0002595D">
            <w:hyperlink r:id="rId52" w:anchor="Grant" w:history="1">
              <w:r w:rsidR="0068082C" w:rsidRPr="0070453B">
                <w:rPr>
                  <w:rStyle w:val="Hyperlink"/>
                </w:rPr>
                <w:t>http://www.oecd.org/dac/dac-glossary.htm#Grant</w:t>
              </w:r>
            </w:hyperlink>
            <w:r w:rsidR="0068082C">
              <w:t xml:space="preserve"> </w:t>
            </w:r>
          </w:p>
        </w:tc>
      </w:tr>
      <w:tr w:rsidR="00A37353" w14:paraId="4FA76900" w14:textId="77777777" w:rsidTr="001A06C1">
        <w:tc>
          <w:tcPr>
            <w:tcW w:w="1424" w:type="dxa"/>
            <w:shd w:val="clear" w:color="auto" w:fill="auto"/>
          </w:tcPr>
          <w:p w14:paraId="05751BDC" w14:textId="77777777" w:rsidR="00A37353" w:rsidRPr="00B44BFF" w:rsidRDefault="00A37353" w:rsidP="0002595D">
            <w:pPr>
              <w:rPr>
                <w:rFonts w:ascii="Calibri" w:hAnsi="Calibri"/>
                <w:b/>
                <w:bCs/>
                <w:color w:val="000000"/>
              </w:rPr>
            </w:pPr>
            <w:r>
              <w:rPr>
                <w:rFonts w:ascii="Calibri" w:hAnsi="Calibri"/>
                <w:b/>
                <w:bCs/>
                <w:color w:val="000000"/>
              </w:rPr>
              <w:t>Guarantee</w:t>
            </w:r>
          </w:p>
        </w:tc>
        <w:tc>
          <w:tcPr>
            <w:tcW w:w="4093" w:type="dxa"/>
            <w:shd w:val="clear" w:color="auto" w:fill="auto"/>
          </w:tcPr>
          <w:p w14:paraId="78BA821D" w14:textId="77777777" w:rsidR="00A37353" w:rsidRPr="00B44BFF" w:rsidRDefault="00A37353" w:rsidP="0002595D">
            <w:pPr>
              <w:rPr>
                <w:rFonts w:ascii="Calibri" w:hAnsi="Calibri"/>
                <w:color w:val="000000"/>
                <w:bdr w:val="none" w:sz="0" w:space="0" w:color="auto" w:frame="1"/>
              </w:rPr>
            </w:pPr>
            <w:r>
              <w:rPr>
                <w:rFonts w:ascii="Calibri" w:hAnsi="Calibri"/>
                <w:color w:val="000000"/>
                <w:bdr w:val="none" w:sz="0" w:space="0" w:color="auto" w:frame="1"/>
              </w:rPr>
              <w:t>“A financial contract in which a lender (e.g. a local bank) extends credit to a borrower (e.g. an MFI), based on a promise by a guarantor (e.g. a donor) to absorb a specified portion of losses if the borrower fails to pay as promised. By reducing the lender’s risk, the guarantor hopes to encourage the lender to make loans that the lender would otherwise have rejected as too risky.”</w:t>
            </w:r>
          </w:p>
        </w:tc>
        <w:tc>
          <w:tcPr>
            <w:tcW w:w="2869" w:type="dxa"/>
            <w:shd w:val="clear" w:color="auto" w:fill="auto"/>
          </w:tcPr>
          <w:p w14:paraId="261E7F68" w14:textId="77777777" w:rsidR="00A37353" w:rsidRPr="00B44BFF" w:rsidRDefault="00A37353" w:rsidP="0002595D">
            <w:pPr>
              <w:rPr>
                <w:rFonts w:ascii="Calibri" w:hAnsi="Calibri"/>
                <w:color w:val="000000"/>
              </w:rPr>
            </w:pPr>
          </w:p>
        </w:tc>
        <w:tc>
          <w:tcPr>
            <w:tcW w:w="2647" w:type="dxa"/>
          </w:tcPr>
          <w:p w14:paraId="7B0A8FC5" w14:textId="4487C1BF" w:rsidR="00A37353" w:rsidRPr="00B44BFF" w:rsidRDefault="00420BE3" w:rsidP="0002595D">
            <w:r>
              <w:t>% repayment of loans</w:t>
            </w:r>
          </w:p>
        </w:tc>
        <w:tc>
          <w:tcPr>
            <w:tcW w:w="2647" w:type="dxa"/>
          </w:tcPr>
          <w:p w14:paraId="5F3A7459" w14:textId="77777777" w:rsidR="00A37353" w:rsidRDefault="009F311F" w:rsidP="0002595D">
            <w:hyperlink r:id="rId53" w:history="1">
              <w:r w:rsidR="00A37353" w:rsidRPr="00620F5B">
                <w:rPr>
                  <w:rStyle w:val="Hyperlink"/>
                </w:rPr>
                <w:t>http://www.ifad.org/ruralfinance/dt/full/dt_e_web.pdf</w:t>
              </w:r>
            </w:hyperlink>
          </w:p>
          <w:p w14:paraId="608E56DE" w14:textId="77777777" w:rsidR="00A37353" w:rsidRPr="00B44BFF" w:rsidRDefault="00A37353" w:rsidP="0002595D">
            <w:r>
              <w:t>pg. 75</w:t>
            </w:r>
          </w:p>
        </w:tc>
      </w:tr>
      <w:tr w:rsidR="00A37353" w14:paraId="61CAFA3F" w14:textId="77777777" w:rsidTr="001A06C1">
        <w:tc>
          <w:tcPr>
            <w:tcW w:w="1424" w:type="dxa"/>
            <w:shd w:val="clear" w:color="auto" w:fill="auto"/>
          </w:tcPr>
          <w:p w14:paraId="6474037C" w14:textId="77777777" w:rsidR="00A37353" w:rsidRPr="00B44BFF" w:rsidRDefault="00A37353" w:rsidP="0002595D">
            <w:pPr>
              <w:rPr>
                <w:rFonts w:ascii="Calibri" w:hAnsi="Calibri"/>
                <w:b/>
                <w:bCs/>
                <w:color w:val="000000"/>
              </w:rPr>
            </w:pPr>
            <w:r>
              <w:rPr>
                <w:rFonts w:ascii="Calibri" w:hAnsi="Calibri"/>
                <w:b/>
                <w:bCs/>
                <w:color w:val="000000"/>
              </w:rPr>
              <w:t>Income</w:t>
            </w:r>
          </w:p>
        </w:tc>
        <w:tc>
          <w:tcPr>
            <w:tcW w:w="4093" w:type="dxa"/>
            <w:shd w:val="clear" w:color="auto" w:fill="auto"/>
          </w:tcPr>
          <w:p w14:paraId="51B687C2" w14:textId="77777777" w:rsidR="00A37353" w:rsidRPr="00B44BFF" w:rsidRDefault="00A37353" w:rsidP="0002595D">
            <w:pPr>
              <w:rPr>
                <w:rFonts w:ascii="Calibri" w:hAnsi="Calibri"/>
                <w:color w:val="000000"/>
              </w:rPr>
            </w:pPr>
            <w:r>
              <w:rPr>
                <w:rFonts w:ascii="Calibri" w:hAnsi="Calibri"/>
                <w:color w:val="000000"/>
              </w:rPr>
              <w:t>Money derived from agricultural production directly related to project activities.</w:t>
            </w:r>
          </w:p>
        </w:tc>
        <w:tc>
          <w:tcPr>
            <w:tcW w:w="2869" w:type="dxa"/>
            <w:shd w:val="clear" w:color="auto" w:fill="auto"/>
          </w:tcPr>
          <w:p w14:paraId="628303E7" w14:textId="0F7B1561" w:rsidR="00A37353" w:rsidRPr="00B44BFF" w:rsidRDefault="00A37353" w:rsidP="0002595D">
            <w:pPr>
              <w:rPr>
                <w:rFonts w:ascii="Calibri" w:hAnsi="Calibri"/>
                <w:color w:val="000000"/>
              </w:rPr>
            </w:pPr>
            <w:r>
              <w:rPr>
                <w:rFonts w:ascii="Calibri" w:hAnsi="Calibri"/>
                <w:color w:val="000000"/>
              </w:rPr>
              <w:t>Not overall household income—income specifically attributable to the intervention.</w:t>
            </w:r>
          </w:p>
        </w:tc>
        <w:tc>
          <w:tcPr>
            <w:tcW w:w="2647" w:type="dxa"/>
          </w:tcPr>
          <w:p w14:paraId="57399A5F" w14:textId="77777777" w:rsidR="00A37353" w:rsidRPr="00B44BFF" w:rsidRDefault="00A37353" w:rsidP="0002595D"/>
        </w:tc>
        <w:tc>
          <w:tcPr>
            <w:tcW w:w="2647" w:type="dxa"/>
          </w:tcPr>
          <w:p w14:paraId="57E4061A" w14:textId="77777777" w:rsidR="00A37353" w:rsidRPr="00B44BFF" w:rsidRDefault="00A37353" w:rsidP="0002595D"/>
        </w:tc>
      </w:tr>
      <w:tr w:rsidR="00A37353" w14:paraId="6E6CCBB6" w14:textId="77777777" w:rsidTr="001A06C1">
        <w:tc>
          <w:tcPr>
            <w:tcW w:w="1424" w:type="dxa"/>
            <w:shd w:val="clear" w:color="auto" w:fill="auto"/>
          </w:tcPr>
          <w:p w14:paraId="14A5CF98" w14:textId="77777777" w:rsidR="00A37353" w:rsidRPr="00B44BFF" w:rsidRDefault="00A37353" w:rsidP="0002595D">
            <w:pPr>
              <w:rPr>
                <w:rFonts w:ascii="Calibri" w:hAnsi="Calibri"/>
                <w:b/>
                <w:color w:val="000000"/>
              </w:rPr>
            </w:pPr>
            <w:r>
              <w:rPr>
                <w:rFonts w:ascii="Calibri" w:hAnsi="Calibri"/>
                <w:b/>
                <w:bCs/>
                <w:color w:val="000000"/>
              </w:rPr>
              <w:t>Loans</w:t>
            </w:r>
          </w:p>
        </w:tc>
        <w:tc>
          <w:tcPr>
            <w:tcW w:w="4093" w:type="dxa"/>
            <w:shd w:val="clear" w:color="auto" w:fill="auto"/>
          </w:tcPr>
          <w:p w14:paraId="3819B62A" w14:textId="2080B164" w:rsidR="00A37353" w:rsidRPr="00B44BFF" w:rsidRDefault="00505B39" w:rsidP="0002595D">
            <w:pPr>
              <w:rPr>
                <w:rFonts w:ascii="Calibri" w:hAnsi="Calibri"/>
                <w:color w:val="000000"/>
              </w:rPr>
            </w:pPr>
            <w:r w:rsidRPr="00505B39">
              <w:rPr>
                <w:rFonts w:ascii="Calibri" w:hAnsi="Calibri"/>
                <w:color w:val="000000"/>
              </w:rPr>
              <w:t>Transfers for which repayment is required.</w:t>
            </w:r>
            <w:r>
              <w:rPr>
                <w:rFonts w:ascii="Calibri" w:hAnsi="Calibri"/>
                <w:color w:val="000000"/>
              </w:rPr>
              <w:t xml:space="preserve"> Loans typically accrue interest. </w:t>
            </w:r>
            <w:r w:rsidR="00C431E0">
              <w:rPr>
                <w:rFonts w:ascii="Calibri" w:hAnsi="Calibri"/>
                <w:color w:val="000000"/>
              </w:rPr>
              <w:t xml:space="preserve">Loans can be cash or in kind. </w:t>
            </w:r>
          </w:p>
        </w:tc>
        <w:tc>
          <w:tcPr>
            <w:tcW w:w="2869" w:type="dxa"/>
            <w:shd w:val="clear" w:color="auto" w:fill="auto"/>
          </w:tcPr>
          <w:p w14:paraId="4D6E28B9" w14:textId="77777777" w:rsidR="00A37353" w:rsidRPr="00B44BFF" w:rsidRDefault="00A37353" w:rsidP="0002595D">
            <w:pPr>
              <w:rPr>
                <w:rFonts w:ascii="Calibri" w:hAnsi="Calibri"/>
                <w:color w:val="000000"/>
              </w:rPr>
            </w:pPr>
          </w:p>
        </w:tc>
        <w:tc>
          <w:tcPr>
            <w:tcW w:w="2647" w:type="dxa"/>
          </w:tcPr>
          <w:p w14:paraId="161D1548" w14:textId="00CB15A9" w:rsidR="00A37353" w:rsidRPr="00B44BFF" w:rsidRDefault="00A37353" w:rsidP="00FB3634">
            <w:r>
              <w:t>% repayment of loan</w:t>
            </w:r>
            <w:r w:rsidR="00FB3634">
              <w:t>s</w:t>
            </w:r>
          </w:p>
        </w:tc>
        <w:tc>
          <w:tcPr>
            <w:tcW w:w="2647" w:type="dxa"/>
          </w:tcPr>
          <w:p w14:paraId="7D4EB112" w14:textId="39AD1FF4" w:rsidR="00505B39" w:rsidRDefault="009F311F" w:rsidP="0002595D">
            <w:hyperlink r:id="rId54" w:anchor="Loans" w:history="1">
              <w:r w:rsidR="00505B39" w:rsidRPr="0070453B">
                <w:rPr>
                  <w:rStyle w:val="Hyperlink"/>
                </w:rPr>
                <w:t>http://www.oecd.org/dac/dac-glossary.htm#Loans</w:t>
              </w:r>
            </w:hyperlink>
          </w:p>
          <w:p w14:paraId="41AF9AF9" w14:textId="77777777" w:rsidR="00505B39" w:rsidRDefault="00505B39" w:rsidP="0002595D"/>
          <w:p w14:paraId="74C616FD" w14:textId="4EEBE8BD" w:rsidR="00A37353" w:rsidRPr="00B44BFF" w:rsidRDefault="009F311F" w:rsidP="0002595D">
            <w:hyperlink r:id="rId55" w:history="1">
              <w:r w:rsidR="00A37353" w:rsidRPr="009D3A79">
                <w:rPr>
                  <w:rStyle w:val="Hyperlink"/>
                </w:rPr>
                <w:t>http://feedthefuture.gov/sites/default/files/resource/files/ftf_handbook_indicators_october2014.pdf</w:t>
              </w:r>
            </w:hyperlink>
            <w:r w:rsidR="00A37353">
              <w:t xml:space="preserve"> pg. 50, 78</w:t>
            </w:r>
          </w:p>
        </w:tc>
      </w:tr>
      <w:tr w:rsidR="00A37353" w14:paraId="4F9373B0" w14:textId="77777777" w:rsidTr="001A06C1">
        <w:tc>
          <w:tcPr>
            <w:tcW w:w="1424" w:type="dxa"/>
            <w:shd w:val="clear" w:color="auto" w:fill="auto"/>
          </w:tcPr>
          <w:p w14:paraId="5ED00338" w14:textId="7D70AC25" w:rsidR="00A37353" w:rsidRPr="00B44BFF" w:rsidRDefault="00A37353" w:rsidP="00A37353">
            <w:pPr>
              <w:rPr>
                <w:rFonts w:ascii="Calibri" w:hAnsi="Calibri"/>
                <w:b/>
                <w:bCs/>
                <w:color w:val="000000"/>
              </w:rPr>
            </w:pPr>
            <w:r>
              <w:rPr>
                <w:rFonts w:ascii="Calibri" w:hAnsi="Calibri"/>
                <w:b/>
                <w:bCs/>
                <w:color w:val="000000"/>
              </w:rPr>
              <w:t>Microfinance</w:t>
            </w:r>
          </w:p>
        </w:tc>
        <w:tc>
          <w:tcPr>
            <w:tcW w:w="4093" w:type="dxa"/>
            <w:shd w:val="clear" w:color="auto" w:fill="auto"/>
          </w:tcPr>
          <w:p w14:paraId="6D187028" w14:textId="7F8D631D" w:rsidR="00A37353" w:rsidRPr="00B44BFF" w:rsidRDefault="00237262" w:rsidP="0002595D">
            <w:pPr>
              <w:rPr>
                <w:rFonts w:ascii="Calibri" w:hAnsi="Calibri"/>
                <w:color w:val="000000"/>
              </w:rPr>
            </w:pPr>
            <w:r>
              <w:rPr>
                <w:rFonts w:ascii="Calibri" w:hAnsi="Calibri"/>
                <w:color w:val="000000"/>
                <w:bdr w:val="none" w:sz="0" w:space="0" w:color="auto" w:frame="1"/>
              </w:rPr>
              <w:t>“</w:t>
            </w:r>
            <w:r w:rsidR="00B52B57">
              <w:rPr>
                <w:rFonts w:ascii="Calibri" w:hAnsi="Calibri"/>
                <w:color w:val="000000"/>
                <w:bdr w:val="none" w:sz="0" w:space="0" w:color="auto" w:frame="1"/>
              </w:rPr>
              <w:t>Financial services that focus on low-income households and small-scale businesses</w:t>
            </w:r>
            <w:r>
              <w:rPr>
                <w:rFonts w:ascii="Calibri" w:hAnsi="Calibri"/>
                <w:color w:val="000000"/>
                <w:bdr w:val="none" w:sz="0" w:space="0" w:color="auto" w:frame="1"/>
              </w:rPr>
              <w:t xml:space="preserve"> in both rural and urban areas.”</w:t>
            </w:r>
          </w:p>
        </w:tc>
        <w:tc>
          <w:tcPr>
            <w:tcW w:w="2869" w:type="dxa"/>
            <w:shd w:val="clear" w:color="auto" w:fill="auto"/>
          </w:tcPr>
          <w:p w14:paraId="5D938F30" w14:textId="77777777" w:rsidR="00A37353" w:rsidRPr="00B44BFF" w:rsidRDefault="00A37353" w:rsidP="0002595D">
            <w:pPr>
              <w:rPr>
                <w:rFonts w:ascii="Calibri" w:hAnsi="Calibri"/>
                <w:color w:val="000000"/>
              </w:rPr>
            </w:pPr>
          </w:p>
        </w:tc>
        <w:tc>
          <w:tcPr>
            <w:tcW w:w="2647" w:type="dxa"/>
          </w:tcPr>
          <w:p w14:paraId="00E90A92" w14:textId="77777777" w:rsidR="00A37353" w:rsidRPr="00B44BFF" w:rsidRDefault="00A37353" w:rsidP="0002595D"/>
        </w:tc>
        <w:tc>
          <w:tcPr>
            <w:tcW w:w="2647" w:type="dxa"/>
          </w:tcPr>
          <w:p w14:paraId="793B0809" w14:textId="77777777" w:rsidR="00B52B57" w:rsidRDefault="009F311F" w:rsidP="00B52B57">
            <w:hyperlink r:id="rId56" w:history="1">
              <w:r w:rsidR="00B52B57" w:rsidRPr="00620F5B">
                <w:rPr>
                  <w:rStyle w:val="Hyperlink"/>
                </w:rPr>
                <w:t>http://www.ifad.org/ruralfinance/dt/full/dt_e_web.pdf</w:t>
              </w:r>
            </w:hyperlink>
          </w:p>
          <w:p w14:paraId="07472642" w14:textId="50E5A3FC" w:rsidR="00A37353" w:rsidRPr="00B44BFF" w:rsidRDefault="00237262" w:rsidP="00B52B57">
            <w:r>
              <w:t>pg. 76</w:t>
            </w:r>
          </w:p>
        </w:tc>
      </w:tr>
      <w:tr w:rsidR="00A37353" w14:paraId="489AA6F4" w14:textId="77777777" w:rsidTr="001A06C1">
        <w:tc>
          <w:tcPr>
            <w:tcW w:w="1424" w:type="dxa"/>
            <w:shd w:val="clear" w:color="auto" w:fill="auto"/>
          </w:tcPr>
          <w:p w14:paraId="66CA17BD" w14:textId="77777777" w:rsidR="00A37353" w:rsidRPr="00B44BFF" w:rsidRDefault="00A37353" w:rsidP="0002595D">
            <w:pPr>
              <w:rPr>
                <w:rFonts w:ascii="Calibri" w:hAnsi="Calibri"/>
                <w:b/>
                <w:bCs/>
                <w:color w:val="000000"/>
              </w:rPr>
            </w:pPr>
            <w:r>
              <w:rPr>
                <w:rFonts w:ascii="Calibri" w:hAnsi="Calibri"/>
                <w:b/>
                <w:bCs/>
                <w:color w:val="000000"/>
              </w:rPr>
              <w:t>Profit</w:t>
            </w:r>
          </w:p>
        </w:tc>
        <w:tc>
          <w:tcPr>
            <w:tcW w:w="4093" w:type="dxa"/>
            <w:shd w:val="clear" w:color="auto" w:fill="auto"/>
          </w:tcPr>
          <w:p w14:paraId="71FDAC49" w14:textId="77777777" w:rsidR="00A37353" w:rsidRDefault="00A37353" w:rsidP="0002595D">
            <w:pPr>
              <w:rPr>
                <w:rFonts w:ascii="Calibri" w:hAnsi="Calibri"/>
                <w:color w:val="000000"/>
              </w:rPr>
            </w:pPr>
            <w:r>
              <w:rPr>
                <w:rFonts w:ascii="Calibri" w:hAnsi="Calibri"/>
                <w:color w:val="000000"/>
              </w:rPr>
              <w:t>Income from sale of agricultural products less input costs.</w:t>
            </w:r>
          </w:p>
          <w:p w14:paraId="2BC76BAD" w14:textId="77777777" w:rsidR="00A37353" w:rsidRDefault="00A37353" w:rsidP="0002595D">
            <w:pPr>
              <w:rPr>
                <w:rFonts w:ascii="Calibri" w:hAnsi="Calibri"/>
                <w:color w:val="000000"/>
              </w:rPr>
            </w:pPr>
          </w:p>
          <w:p w14:paraId="1C7A88C4" w14:textId="77777777" w:rsidR="00A37353" w:rsidRPr="00B44BFF" w:rsidRDefault="00A37353" w:rsidP="0002595D">
            <w:pPr>
              <w:rPr>
                <w:rFonts w:ascii="Calibri" w:hAnsi="Calibri"/>
                <w:color w:val="000000"/>
              </w:rPr>
            </w:pPr>
            <w:r>
              <w:rPr>
                <w:rFonts w:ascii="Calibri" w:hAnsi="Calibri"/>
                <w:color w:val="000000"/>
              </w:rPr>
              <w:t>P = I - IC</w:t>
            </w:r>
          </w:p>
        </w:tc>
        <w:tc>
          <w:tcPr>
            <w:tcW w:w="2869" w:type="dxa"/>
            <w:shd w:val="clear" w:color="auto" w:fill="auto"/>
          </w:tcPr>
          <w:p w14:paraId="23DD9488" w14:textId="77777777" w:rsidR="00A37353" w:rsidRPr="00B44BFF" w:rsidRDefault="00A37353" w:rsidP="0002595D">
            <w:pPr>
              <w:rPr>
                <w:rFonts w:ascii="Calibri" w:hAnsi="Calibri"/>
                <w:color w:val="000000"/>
              </w:rPr>
            </w:pPr>
            <w:r>
              <w:rPr>
                <w:rFonts w:ascii="Calibri" w:hAnsi="Calibri"/>
                <w:color w:val="000000"/>
              </w:rPr>
              <w:t>Profit is the net income from an agricultural endeavor, not net household income.</w:t>
            </w:r>
          </w:p>
        </w:tc>
        <w:tc>
          <w:tcPr>
            <w:tcW w:w="2647" w:type="dxa"/>
          </w:tcPr>
          <w:p w14:paraId="0697EA45" w14:textId="77777777" w:rsidR="00A37353" w:rsidRPr="00B44BFF" w:rsidRDefault="00A37353" w:rsidP="0002595D"/>
        </w:tc>
        <w:tc>
          <w:tcPr>
            <w:tcW w:w="2647" w:type="dxa"/>
          </w:tcPr>
          <w:p w14:paraId="0D0309C6" w14:textId="77777777" w:rsidR="00A37353" w:rsidRPr="00B44BFF" w:rsidRDefault="00A37353" w:rsidP="0002595D"/>
        </w:tc>
      </w:tr>
      <w:tr w:rsidR="00237262" w14:paraId="5947A6CE" w14:textId="77777777" w:rsidTr="001A06C1">
        <w:tc>
          <w:tcPr>
            <w:tcW w:w="1424" w:type="dxa"/>
            <w:shd w:val="clear" w:color="auto" w:fill="auto"/>
          </w:tcPr>
          <w:p w14:paraId="1F403BD4" w14:textId="482DB186" w:rsidR="00237262" w:rsidRDefault="00237262" w:rsidP="0002595D">
            <w:pPr>
              <w:rPr>
                <w:rFonts w:ascii="Calibri" w:hAnsi="Calibri"/>
                <w:b/>
                <w:bCs/>
                <w:color w:val="000000"/>
              </w:rPr>
            </w:pPr>
            <w:r>
              <w:rPr>
                <w:rFonts w:ascii="Calibri" w:hAnsi="Calibri"/>
                <w:b/>
                <w:bCs/>
                <w:color w:val="000000"/>
              </w:rPr>
              <w:t>Rural Finance</w:t>
            </w:r>
          </w:p>
        </w:tc>
        <w:tc>
          <w:tcPr>
            <w:tcW w:w="4093" w:type="dxa"/>
            <w:shd w:val="clear" w:color="auto" w:fill="auto"/>
          </w:tcPr>
          <w:p w14:paraId="7E4406CF" w14:textId="39384C08" w:rsidR="00237262" w:rsidRDefault="00237262" w:rsidP="0002595D">
            <w:pPr>
              <w:rPr>
                <w:rFonts w:ascii="Calibri" w:hAnsi="Calibri"/>
                <w:color w:val="000000"/>
                <w:bdr w:val="none" w:sz="0" w:space="0" w:color="auto" w:frame="1"/>
              </w:rPr>
            </w:pPr>
            <w:r>
              <w:rPr>
                <w:rFonts w:ascii="Calibri" w:hAnsi="Calibri"/>
                <w:color w:val="000000"/>
                <w:bdr w:val="none" w:sz="0" w:space="0" w:color="auto" w:frame="1"/>
              </w:rPr>
              <w:t>“Financial services that focus on households and businesses in rural areas, encompassing both agricultural and non-agricultural activities… Rural finance encompasses the full range of financial services that farmers and rural households require.”</w:t>
            </w:r>
          </w:p>
        </w:tc>
        <w:tc>
          <w:tcPr>
            <w:tcW w:w="2869" w:type="dxa"/>
            <w:shd w:val="clear" w:color="auto" w:fill="auto"/>
          </w:tcPr>
          <w:p w14:paraId="12C62864" w14:textId="77777777" w:rsidR="00237262" w:rsidRPr="00B44BFF" w:rsidRDefault="00237262" w:rsidP="0002595D">
            <w:pPr>
              <w:rPr>
                <w:rFonts w:ascii="Calibri" w:hAnsi="Calibri"/>
                <w:color w:val="000000"/>
              </w:rPr>
            </w:pPr>
          </w:p>
        </w:tc>
        <w:tc>
          <w:tcPr>
            <w:tcW w:w="2647" w:type="dxa"/>
          </w:tcPr>
          <w:p w14:paraId="57083B1A" w14:textId="77777777" w:rsidR="00237262" w:rsidRDefault="00237262" w:rsidP="0002595D"/>
        </w:tc>
        <w:tc>
          <w:tcPr>
            <w:tcW w:w="2647" w:type="dxa"/>
          </w:tcPr>
          <w:p w14:paraId="6A476EFD" w14:textId="77777777" w:rsidR="00237262" w:rsidRDefault="009F311F" w:rsidP="00237262">
            <w:hyperlink r:id="rId57" w:history="1">
              <w:r w:rsidR="00237262" w:rsidRPr="00620F5B">
                <w:rPr>
                  <w:rStyle w:val="Hyperlink"/>
                </w:rPr>
                <w:t>http://www.ifad.org/ruralfinance/dt/full/dt_e_web.pdf</w:t>
              </w:r>
            </w:hyperlink>
          </w:p>
          <w:p w14:paraId="71D025D1" w14:textId="5179C955" w:rsidR="00237262" w:rsidRPr="00B44BFF" w:rsidRDefault="00237262" w:rsidP="00237262">
            <w:r>
              <w:t>pg. 76</w:t>
            </w:r>
          </w:p>
        </w:tc>
      </w:tr>
      <w:tr w:rsidR="00A37353" w14:paraId="559BF86B" w14:textId="77777777" w:rsidTr="001A06C1">
        <w:tc>
          <w:tcPr>
            <w:tcW w:w="1424" w:type="dxa"/>
            <w:shd w:val="clear" w:color="auto" w:fill="auto"/>
          </w:tcPr>
          <w:p w14:paraId="62119C27" w14:textId="77777777" w:rsidR="00A37353" w:rsidRPr="00B44BFF" w:rsidRDefault="00A37353" w:rsidP="0002595D">
            <w:pPr>
              <w:rPr>
                <w:rFonts w:ascii="Calibri" w:hAnsi="Calibri"/>
                <w:b/>
                <w:bCs/>
                <w:color w:val="000000"/>
              </w:rPr>
            </w:pPr>
            <w:r>
              <w:rPr>
                <w:rFonts w:ascii="Calibri" w:hAnsi="Calibri"/>
                <w:b/>
                <w:bCs/>
                <w:color w:val="000000"/>
              </w:rPr>
              <w:t>Savings</w:t>
            </w:r>
          </w:p>
        </w:tc>
        <w:tc>
          <w:tcPr>
            <w:tcW w:w="4093" w:type="dxa"/>
            <w:shd w:val="clear" w:color="auto" w:fill="auto"/>
          </w:tcPr>
          <w:p w14:paraId="58A07E13" w14:textId="73172415" w:rsidR="00B176CE" w:rsidRPr="00B44BFF" w:rsidRDefault="00940B3F" w:rsidP="00F80FC3">
            <w:pPr>
              <w:rPr>
                <w:rFonts w:ascii="Calibri" w:hAnsi="Calibri"/>
                <w:color w:val="000000"/>
                <w:bdr w:val="none" w:sz="0" w:space="0" w:color="auto" w:frame="1"/>
              </w:rPr>
            </w:pPr>
            <w:r>
              <w:rPr>
                <w:rFonts w:ascii="Calibri" w:hAnsi="Calibri"/>
                <w:color w:val="000000"/>
                <w:bdr w:val="none" w:sz="0" w:space="0" w:color="auto" w:frame="1"/>
              </w:rPr>
              <w:t xml:space="preserve">Money set aside for the future, either for a specific purchase or an emergency safety net. Savings can be made by individuals or collectively in a VSLA or other organization. If deposited in a formal financial institution, savings typically accrue interest. In most cases, saved money is left over after household expenses and any consumer expenditures. </w:t>
            </w:r>
          </w:p>
        </w:tc>
        <w:tc>
          <w:tcPr>
            <w:tcW w:w="2869" w:type="dxa"/>
            <w:shd w:val="clear" w:color="auto" w:fill="auto"/>
          </w:tcPr>
          <w:p w14:paraId="20118D0D" w14:textId="0422092C" w:rsidR="00A37353" w:rsidRPr="00B44BFF" w:rsidRDefault="00C431E0" w:rsidP="0002595D">
            <w:pPr>
              <w:rPr>
                <w:rFonts w:ascii="Calibri" w:hAnsi="Calibri"/>
                <w:color w:val="000000"/>
              </w:rPr>
            </w:pPr>
            <w:r>
              <w:rPr>
                <w:rFonts w:ascii="Calibri" w:hAnsi="Calibri"/>
                <w:color w:val="000000"/>
              </w:rPr>
              <w:t xml:space="preserve">Savings can be voluntary or compulsory for membership in an organization. Savings can help to represent the food security and resilience of households. </w:t>
            </w:r>
          </w:p>
        </w:tc>
        <w:tc>
          <w:tcPr>
            <w:tcW w:w="2647" w:type="dxa"/>
          </w:tcPr>
          <w:p w14:paraId="5C5CDFA6" w14:textId="561DF787" w:rsidR="00A37353" w:rsidRDefault="00A37353" w:rsidP="0002595D">
            <w:r>
              <w:t xml:space="preserve"># of </w:t>
            </w:r>
            <w:r w:rsidR="00B97A05">
              <w:t>participants</w:t>
            </w:r>
            <w:r>
              <w:t xml:space="preserve"> who deposited savings within last 12 months</w:t>
            </w:r>
          </w:p>
          <w:p w14:paraId="71FCB86C" w14:textId="77777777" w:rsidR="00A37353" w:rsidRDefault="00A37353" w:rsidP="0002595D"/>
          <w:p w14:paraId="5256038D" w14:textId="672F0A33" w:rsidR="00A37353" w:rsidRDefault="00A37353" w:rsidP="0002595D">
            <w:r>
              <w:t xml:space="preserve"># of </w:t>
            </w:r>
            <w:r w:rsidR="00B97A05">
              <w:t>participants</w:t>
            </w:r>
            <w:r>
              <w:t xml:space="preserve"> with access to savings at formal financial institutions (banks)</w:t>
            </w:r>
          </w:p>
          <w:p w14:paraId="48D31C7A" w14:textId="77777777" w:rsidR="002A4D9D" w:rsidRDefault="002A4D9D" w:rsidP="0002595D"/>
          <w:p w14:paraId="65F84F82" w14:textId="2D3DF2B6" w:rsidR="002A4D9D" w:rsidRDefault="00D73C8B" w:rsidP="0002595D">
            <w:r>
              <w:t>#</w:t>
            </w:r>
            <w:r w:rsidR="002A4D9D">
              <w:t xml:space="preserve"> of voluntary savers</w:t>
            </w:r>
          </w:p>
          <w:p w14:paraId="1608A21A" w14:textId="77777777" w:rsidR="002A4D9D" w:rsidRDefault="002A4D9D" w:rsidP="0002595D"/>
          <w:p w14:paraId="073BEE44" w14:textId="643F6E0D" w:rsidR="002A4D9D" w:rsidRPr="00B44BFF" w:rsidRDefault="002A4D9D" w:rsidP="0002595D">
            <w:r>
              <w:t>Value of voluntary savings</w:t>
            </w:r>
          </w:p>
        </w:tc>
        <w:tc>
          <w:tcPr>
            <w:tcW w:w="2647" w:type="dxa"/>
          </w:tcPr>
          <w:p w14:paraId="213050E4" w14:textId="77777777" w:rsidR="00A37353" w:rsidRPr="00B44BFF" w:rsidRDefault="00A37353" w:rsidP="0002595D"/>
        </w:tc>
      </w:tr>
      <w:tr w:rsidR="00EF34CC" w14:paraId="1BDFB6EC" w14:textId="77777777" w:rsidTr="001A06C1">
        <w:tc>
          <w:tcPr>
            <w:tcW w:w="1424" w:type="dxa"/>
            <w:shd w:val="clear" w:color="auto" w:fill="auto"/>
          </w:tcPr>
          <w:p w14:paraId="16B88129" w14:textId="3695FD6B" w:rsidR="00EF34CC" w:rsidRDefault="00EF34CC" w:rsidP="0002595D">
            <w:pPr>
              <w:rPr>
                <w:rFonts w:ascii="Calibri" w:hAnsi="Calibri"/>
                <w:b/>
                <w:bCs/>
                <w:color w:val="000000"/>
              </w:rPr>
            </w:pPr>
            <w:r>
              <w:rPr>
                <w:rFonts w:ascii="Calibri" w:hAnsi="Calibri"/>
                <w:b/>
                <w:bCs/>
                <w:color w:val="000000"/>
              </w:rPr>
              <w:t>Terms of Repayment</w:t>
            </w:r>
          </w:p>
        </w:tc>
        <w:tc>
          <w:tcPr>
            <w:tcW w:w="4093" w:type="dxa"/>
            <w:shd w:val="clear" w:color="auto" w:fill="auto"/>
          </w:tcPr>
          <w:p w14:paraId="6DEE9466" w14:textId="77777777" w:rsidR="00EF34CC" w:rsidRPr="00EF34CC" w:rsidRDefault="00EF34CC" w:rsidP="00EF34CC">
            <w:pPr>
              <w:rPr>
                <w:rFonts w:ascii="Calibri" w:hAnsi="Calibri"/>
                <w:color w:val="000000"/>
                <w:bdr w:val="none" w:sz="0" w:space="0" w:color="auto" w:frame="1"/>
              </w:rPr>
            </w:pPr>
            <w:r w:rsidRPr="00EF34CC">
              <w:rPr>
                <w:rFonts w:ascii="Calibri" w:hAnsi="Calibri"/>
                <w:color w:val="000000"/>
                <w:bdr w:val="none" w:sz="0" w:space="0" w:color="auto" w:frame="1"/>
              </w:rPr>
              <w:t>The terms of repayment of a loan may be the following:</w:t>
            </w:r>
          </w:p>
          <w:p w14:paraId="49466D6E" w14:textId="77777777" w:rsidR="00EF34CC" w:rsidRDefault="00EF34CC" w:rsidP="00EF34CC">
            <w:pPr>
              <w:pStyle w:val="ListParagraph"/>
              <w:numPr>
                <w:ilvl w:val="0"/>
                <w:numId w:val="1"/>
              </w:numPr>
              <w:rPr>
                <w:rFonts w:ascii="Calibri" w:hAnsi="Calibri"/>
                <w:color w:val="000000"/>
                <w:bdr w:val="none" w:sz="0" w:space="0" w:color="auto" w:frame="1"/>
              </w:rPr>
            </w:pPr>
            <w:r w:rsidRPr="00A83FA3">
              <w:rPr>
                <w:rFonts w:ascii="Calibri" w:hAnsi="Calibri"/>
                <w:b/>
                <w:bCs/>
                <w:color w:val="000000"/>
                <w:bdr w:val="none" w:sz="0" w:space="0" w:color="auto" w:frame="1"/>
              </w:rPr>
              <w:t>Equal principal payments (EPP</w:t>
            </w:r>
            <w:r w:rsidRPr="00EF34CC">
              <w:rPr>
                <w:rFonts w:ascii="Calibri" w:hAnsi="Calibri"/>
                <w:color w:val="000000"/>
                <w:bdr w:val="none" w:sz="0" w:space="0" w:color="auto" w:frame="1"/>
              </w:rPr>
              <w:t>) denotes a fixed schedule of equal installments of principal adding up to the face value of the loan. Interest is charged on outstanding principal and the amount of individual service payments decreases with each payment of principal.</w:t>
            </w:r>
          </w:p>
          <w:p w14:paraId="253CA914" w14:textId="59D0272C" w:rsidR="00EF34CC" w:rsidRDefault="00EF34CC" w:rsidP="00EF34CC">
            <w:pPr>
              <w:pStyle w:val="ListParagraph"/>
              <w:numPr>
                <w:ilvl w:val="0"/>
                <w:numId w:val="1"/>
              </w:numPr>
              <w:rPr>
                <w:rFonts w:ascii="Calibri" w:hAnsi="Calibri"/>
                <w:color w:val="000000"/>
                <w:bdr w:val="none" w:sz="0" w:space="0" w:color="auto" w:frame="1"/>
              </w:rPr>
            </w:pPr>
            <w:r w:rsidRPr="00EF34CC">
              <w:rPr>
                <w:rFonts w:ascii="Calibri" w:hAnsi="Calibri"/>
                <w:color w:val="000000"/>
                <w:bdr w:val="none" w:sz="0" w:space="0" w:color="auto" w:frame="1"/>
              </w:rPr>
              <w:t xml:space="preserve">In the </w:t>
            </w:r>
            <w:r w:rsidRPr="00A83FA3">
              <w:rPr>
                <w:rFonts w:ascii="Calibri" w:hAnsi="Calibri"/>
                <w:b/>
                <w:bCs/>
                <w:color w:val="000000"/>
                <w:bdr w:val="none" w:sz="0" w:space="0" w:color="auto" w:frame="1"/>
              </w:rPr>
              <w:t>annuity</w:t>
            </w:r>
            <w:r w:rsidRPr="00EF34CC">
              <w:rPr>
                <w:rFonts w:ascii="Calibri" w:hAnsi="Calibri"/>
                <w:color w:val="000000"/>
                <w:bdr w:val="none" w:sz="0" w:space="0" w:color="auto" w:frame="1"/>
              </w:rPr>
              <w:t xml:space="preserve"> method, each service payment is established as an equal amount within which the interest component declines with time while the principal component increases.</w:t>
            </w:r>
          </w:p>
          <w:p w14:paraId="3F3FB991" w14:textId="217BB268" w:rsidR="00EF34CC" w:rsidRPr="00EF34CC" w:rsidRDefault="00EF34CC" w:rsidP="00EF34CC">
            <w:pPr>
              <w:pStyle w:val="ListParagraph"/>
              <w:numPr>
                <w:ilvl w:val="0"/>
                <w:numId w:val="1"/>
              </w:numPr>
              <w:rPr>
                <w:rFonts w:ascii="Calibri" w:hAnsi="Calibri"/>
                <w:color w:val="000000"/>
                <w:bdr w:val="none" w:sz="0" w:space="0" w:color="auto" w:frame="1"/>
              </w:rPr>
            </w:pPr>
            <w:r w:rsidRPr="00A83FA3">
              <w:rPr>
                <w:rFonts w:ascii="Calibri" w:hAnsi="Calibri"/>
                <w:b/>
                <w:bCs/>
                <w:color w:val="000000"/>
                <w:bdr w:val="none" w:sz="0" w:space="0" w:color="auto" w:frame="1"/>
              </w:rPr>
              <w:t>Lump sum</w:t>
            </w:r>
            <w:r w:rsidRPr="00EF34CC">
              <w:rPr>
                <w:rFonts w:ascii="Calibri" w:hAnsi="Calibri"/>
                <w:color w:val="000000"/>
                <w:bdr w:val="none" w:sz="0" w:space="0" w:color="auto" w:frame="1"/>
              </w:rPr>
              <w:t xml:space="preserve"> means the loan is repaid in a single amount (principal and interest) at maturity. If interest is paid at various earlier dates, the repayment schedule is a particular case of equal principal payments and is reported under that category.</w:t>
            </w:r>
          </w:p>
        </w:tc>
        <w:tc>
          <w:tcPr>
            <w:tcW w:w="2869" w:type="dxa"/>
            <w:shd w:val="clear" w:color="auto" w:fill="auto"/>
          </w:tcPr>
          <w:p w14:paraId="0ABEC7F2" w14:textId="77777777" w:rsidR="00EF34CC" w:rsidRPr="00B44BFF" w:rsidRDefault="00EF34CC" w:rsidP="0002595D">
            <w:pPr>
              <w:rPr>
                <w:rFonts w:ascii="Calibri" w:hAnsi="Calibri"/>
                <w:color w:val="000000"/>
              </w:rPr>
            </w:pPr>
          </w:p>
        </w:tc>
        <w:tc>
          <w:tcPr>
            <w:tcW w:w="2647" w:type="dxa"/>
          </w:tcPr>
          <w:p w14:paraId="54094157" w14:textId="77777777" w:rsidR="00EF34CC" w:rsidRDefault="00EF34CC" w:rsidP="0002595D"/>
        </w:tc>
        <w:tc>
          <w:tcPr>
            <w:tcW w:w="2647" w:type="dxa"/>
          </w:tcPr>
          <w:p w14:paraId="021C89D1" w14:textId="7A97842A" w:rsidR="00EF34CC" w:rsidRPr="00B44BFF" w:rsidRDefault="009F311F" w:rsidP="0002595D">
            <w:hyperlink r:id="rId58" w:anchor="Terms_Repayment" w:history="1">
              <w:r w:rsidR="00485414" w:rsidRPr="0070453B">
                <w:rPr>
                  <w:rStyle w:val="Hyperlink"/>
                </w:rPr>
                <w:t>http://www.oecd.org/dac/dac-glossary.htm#Terms_Repayment</w:t>
              </w:r>
            </w:hyperlink>
            <w:r w:rsidR="00485414">
              <w:t xml:space="preserve"> </w:t>
            </w:r>
          </w:p>
        </w:tc>
      </w:tr>
    </w:tbl>
    <w:p w14:paraId="24A2949A" w14:textId="020F0A3E" w:rsidR="00AA55B9" w:rsidRPr="00383B19" w:rsidRDefault="00AA55B9" w:rsidP="00AA55B9">
      <w:pPr>
        <w:pStyle w:val="NoSpacing"/>
      </w:pPr>
    </w:p>
    <w:p w14:paraId="2BC3252A" w14:textId="17CF89C4" w:rsidR="00460109" w:rsidRDefault="00460109">
      <w:r>
        <w:br w:type="page"/>
      </w:r>
    </w:p>
    <w:p w14:paraId="6AEB0DA7" w14:textId="655648F2" w:rsidR="00460109" w:rsidRDefault="00460109" w:rsidP="00460109">
      <w:pPr>
        <w:pStyle w:val="NoSpacing"/>
        <w:rPr>
          <w:b/>
          <w:szCs w:val="16"/>
        </w:rPr>
      </w:pPr>
      <w:bookmarkStart w:id="4" w:name="Glossary_for_Climate_Smart_Agriculture"/>
      <w:r w:rsidRPr="00B65DEE">
        <w:rPr>
          <w:b/>
          <w:sz w:val="32"/>
        </w:rPr>
        <w:t xml:space="preserve">Glossary for </w:t>
      </w:r>
      <w:r>
        <w:rPr>
          <w:b/>
          <w:sz w:val="32"/>
        </w:rPr>
        <w:t>C</w:t>
      </w:r>
      <w:r w:rsidR="002B3CAE">
        <w:rPr>
          <w:b/>
          <w:sz w:val="32"/>
        </w:rPr>
        <w:t>limate-</w:t>
      </w:r>
      <w:r>
        <w:rPr>
          <w:b/>
          <w:sz w:val="32"/>
        </w:rPr>
        <w:t>Smart Agriculture</w:t>
      </w:r>
      <w:bookmarkEnd w:id="4"/>
    </w:p>
    <w:p w14:paraId="527E6100" w14:textId="6BDF5E1E" w:rsidR="004B1269" w:rsidRPr="004B1269" w:rsidRDefault="009976DF" w:rsidP="00460109">
      <w:pPr>
        <w:pStyle w:val="NoSpacing"/>
      </w:pPr>
      <w:r>
        <w:t>Climate-Smart Agriculture (</w:t>
      </w:r>
      <w:r w:rsidR="004B1269">
        <w:t>CSA</w:t>
      </w:r>
      <w:r>
        <w:t>)</w:t>
      </w:r>
      <w:r w:rsidR="004B1269">
        <w:t xml:space="preserve"> encompasses a set of approaches designed in response to specific, locally-identified environmental factors. CSA methodology aims to reduce agricultural losses in times of vulnerability through the use of improved inputs and practices. The effectiveness and efficiency of CSA practices depends on the cost of implementation in terms of inputs and labor and the benefit of the intervention in terms of increased production and reduced losses, compared to the cost and benefit of implementing traditional agriculture practices. In some instances, CSA might not decrease losses during times of vulnerability. Depending on the duration and context of the intervention, traditional agriculture practices might better improve the livelihoods of farmers (e.g. during a short-term emergency recovery project when traditional agriculture is lower cost than CSA and productive enough to meet smallholder needs). However, adopting CSA practices is important </w:t>
      </w:r>
      <w:r>
        <w:t>for</w:t>
      </w:r>
      <w:r w:rsidR="004B1269">
        <w:t xml:space="preserve"> the long-term resilience and livelihoods of farming communities in the face of changing climate. </w:t>
      </w:r>
    </w:p>
    <w:tbl>
      <w:tblPr>
        <w:tblStyle w:val="TableGrid"/>
        <w:tblW w:w="13680" w:type="dxa"/>
        <w:tblInd w:w="60" w:type="dxa"/>
        <w:tblLayout w:type="fixed"/>
        <w:tblLook w:val="04A0" w:firstRow="1" w:lastRow="0" w:firstColumn="1" w:lastColumn="0" w:noHBand="0" w:noVBand="1"/>
      </w:tblPr>
      <w:tblGrid>
        <w:gridCol w:w="1465"/>
        <w:gridCol w:w="4052"/>
        <w:gridCol w:w="2869"/>
        <w:gridCol w:w="2647"/>
        <w:gridCol w:w="2647"/>
      </w:tblGrid>
      <w:tr w:rsidR="00460109" w14:paraId="2730E58E" w14:textId="77777777" w:rsidTr="001A06C1">
        <w:tc>
          <w:tcPr>
            <w:tcW w:w="1465" w:type="dxa"/>
            <w:shd w:val="clear" w:color="auto" w:fill="A6CE39"/>
            <w:vAlign w:val="center"/>
          </w:tcPr>
          <w:p w14:paraId="4670F4BA" w14:textId="77777777" w:rsidR="00460109" w:rsidRPr="00383B19" w:rsidRDefault="00460109" w:rsidP="005248B7">
            <w:pPr>
              <w:jc w:val="center"/>
              <w:rPr>
                <w:b/>
                <w:sz w:val="24"/>
              </w:rPr>
            </w:pPr>
            <w:r w:rsidRPr="00383B19">
              <w:rPr>
                <w:b/>
                <w:sz w:val="24"/>
              </w:rPr>
              <w:t>Standard Term</w:t>
            </w:r>
          </w:p>
        </w:tc>
        <w:tc>
          <w:tcPr>
            <w:tcW w:w="4052" w:type="dxa"/>
            <w:shd w:val="clear" w:color="auto" w:fill="A6CE39"/>
            <w:vAlign w:val="center"/>
          </w:tcPr>
          <w:p w14:paraId="7669686C" w14:textId="77777777" w:rsidR="00460109" w:rsidRPr="00383B19" w:rsidRDefault="00460109" w:rsidP="005248B7">
            <w:pPr>
              <w:jc w:val="center"/>
              <w:rPr>
                <w:b/>
                <w:sz w:val="24"/>
              </w:rPr>
            </w:pPr>
            <w:r w:rsidRPr="00383B19">
              <w:rPr>
                <w:b/>
                <w:sz w:val="24"/>
              </w:rPr>
              <w:t>Definition</w:t>
            </w:r>
          </w:p>
        </w:tc>
        <w:tc>
          <w:tcPr>
            <w:tcW w:w="2869" w:type="dxa"/>
            <w:shd w:val="clear" w:color="auto" w:fill="A6CE39"/>
            <w:vAlign w:val="center"/>
          </w:tcPr>
          <w:p w14:paraId="44D7E3CE" w14:textId="77777777" w:rsidR="00460109" w:rsidRPr="00383B19" w:rsidRDefault="00460109" w:rsidP="005248B7">
            <w:pPr>
              <w:jc w:val="center"/>
              <w:rPr>
                <w:b/>
                <w:sz w:val="24"/>
              </w:rPr>
            </w:pPr>
            <w:r w:rsidRPr="00383B19">
              <w:rPr>
                <w:b/>
                <w:sz w:val="24"/>
              </w:rPr>
              <w:t>Methodological Consideration</w:t>
            </w:r>
            <w:r>
              <w:rPr>
                <w:b/>
                <w:sz w:val="24"/>
              </w:rPr>
              <w:t>s</w:t>
            </w:r>
          </w:p>
        </w:tc>
        <w:tc>
          <w:tcPr>
            <w:tcW w:w="2647" w:type="dxa"/>
            <w:shd w:val="clear" w:color="auto" w:fill="A6CE39"/>
          </w:tcPr>
          <w:p w14:paraId="294B3752" w14:textId="77777777" w:rsidR="00460109" w:rsidRPr="00383B19" w:rsidRDefault="00460109" w:rsidP="005248B7">
            <w:pPr>
              <w:jc w:val="center"/>
              <w:rPr>
                <w:b/>
                <w:sz w:val="24"/>
              </w:rPr>
            </w:pPr>
            <w:r>
              <w:rPr>
                <w:b/>
                <w:sz w:val="24"/>
              </w:rPr>
              <w:t>Example Indicator</w:t>
            </w:r>
          </w:p>
        </w:tc>
        <w:tc>
          <w:tcPr>
            <w:tcW w:w="2647" w:type="dxa"/>
            <w:shd w:val="clear" w:color="auto" w:fill="A6CE39"/>
            <w:vAlign w:val="center"/>
          </w:tcPr>
          <w:p w14:paraId="45960454" w14:textId="77777777" w:rsidR="00460109" w:rsidRPr="00383B19" w:rsidRDefault="00460109" w:rsidP="005248B7">
            <w:pPr>
              <w:jc w:val="center"/>
              <w:rPr>
                <w:b/>
                <w:sz w:val="24"/>
              </w:rPr>
            </w:pPr>
            <w:r w:rsidRPr="00383B19">
              <w:rPr>
                <w:b/>
                <w:sz w:val="24"/>
              </w:rPr>
              <w:t>External Guidance</w:t>
            </w:r>
          </w:p>
        </w:tc>
      </w:tr>
      <w:tr w:rsidR="0028391F" w14:paraId="3BB64BAB" w14:textId="77777777" w:rsidTr="001A06C1">
        <w:tc>
          <w:tcPr>
            <w:tcW w:w="1465" w:type="dxa"/>
            <w:shd w:val="clear" w:color="auto" w:fill="auto"/>
          </w:tcPr>
          <w:p w14:paraId="7B2892EE" w14:textId="7371BDBB" w:rsidR="0028391F" w:rsidRPr="00B44BFF" w:rsidRDefault="0028391F" w:rsidP="00836F47">
            <w:pPr>
              <w:rPr>
                <w:rFonts w:ascii="Calibri" w:hAnsi="Calibri"/>
                <w:b/>
                <w:bCs/>
                <w:color w:val="000000"/>
              </w:rPr>
            </w:pPr>
            <w:r>
              <w:rPr>
                <w:rFonts w:ascii="Calibri" w:hAnsi="Calibri"/>
                <w:b/>
                <w:bCs/>
                <w:color w:val="000000"/>
              </w:rPr>
              <w:t>Adaptation</w:t>
            </w:r>
            <w:r w:rsidR="00790427">
              <w:rPr>
                <w:rFonts w:ascii="Calibri" w:hAnsi="Calibri"/>
                <w:b/>
                <w:bCs/>
                <w:color w:val="000000"/>
              </w:rPr>
              <w:t xml:space="preserve"> (to climate change)</w:t>
            </w:r>
          </w:p>
        </w:tc>
        <w:tc>
          <w:tcPr>
            <w:tcW w:w="4052" w:type="dxa"/>
            <w:shd w:val="clear" w:color="auto" w:fill="auto"/>
          </w:tcPr>
          <w:p w14:paraId="5E99B0D7" w14:textId="0CBF2555" w:rsidR="0028391F" w:rsidRPr="00B44BFF" w:rsidRDefault="00790427" w:rsidP="00790427">
            <w:pPr>
              <w:rPr>
                <w:rFonts w:ascii="Calibri" w:hAnsi="Calibri"/>
                <w:color w:val="000000"/>
              </w:rPr>
            </w:pPr>
            <w:r>
              <w:rPr>
                <w:rFonts w:ascii="Calibri" w:hAnsi="Calibri"/>
                <w:color w:val="000000"/>
              </w:rPr>
              <w:t>“</w:t>
            </w:r>
            <w:r w:rsidRPr="00790427">
              <w:rPr>
                <w:rFonts w:ascii="Calibri" w:hAnsi="Calibri"/>
                <w:color w:val="000000"/>
              </w:rPr>
              <w:t>Adjustments to current or expected climate variability and changing average</w:t>
            </w:r>
            <w:r>
              <w:rPr>
                <w:rFonts w:ascii="Calibri" w:hAnsi="Calibri"/>
                <w:color w:val="000000"/>
              </w:rPr>
              <w:t xml:space="preserve"> </w:t>
            </w:r>
            <w:r w:rsidRPr="00790427">
              <w:rPr>
                <w:rFonts w:ascii="Calibri" w:hAnsi="Calibri"/>
                <w:color w:val="000000"/>
              </w:rPr>
              <w:t>climate conditions. This can serve to moderate harm and exploit beneficial opportunities. Various types of</w:t>
            </w:r>
            <w:r>
              <w:rPr>
                <w:rFonts w:ascii="Calibri" w:hAnsi="Calibri"/>
                <w:color w:val="000000"/>
              </w:rPr>
              <w:t xml:space="preserve"> </w:t>
            </w:r>
            <w:r w:rsidRPr="00790427">
              <w:rPr>
                <w:rFonts w:ascii="Calibri" w:hAnsi="Calibri"/>
                <w:color w:val="000000"/>
              </w:rPr>
              <w:t>adaptation can be distinguished, including anticipatory and reactive adaptation, private and public adaptation,</w:t>
            </w:r>
            <w:r>
              <w:rPr>
                <w:rFonts w:ascii="Calibri" w:hAnsi="Calibri"/>
                <w:color w:val="000000"/>
              </w:rPr>
              <w:t xml:space="preserve"> </w:t>
            </w:r>
            <w:r w:rsidRPr="00790427">
              <w:rPr>
                <w:rFonts w:ascii="Calibri" w:hAnsi="Calibri"/>
                <w:color w:val="000000"/>
              </w:rPr>
              <w:t>and autonomous and planned adaptation.</w:t>
            </w:r>
            <w:r>
              <w:rPr>
                <w:rFonts w:ascii="Calibri" w:hAnsi="Calibri"/>
                <w:color w:val="000000"/>
              </w:rPr>
              <w:t>”</w:t>
            </w:r>
          </w:p>
        </w:tc>
        <w:tc>
          <w:tcPr>
            <w:tcW w:w="2869" w:type="dxa"/>
            <w:shd w:val="clear" w:color="auto" w:fill="auto"/>
          </w:tcPr>
          <w:p w14:paraId="49221606" w14:textId="77777777" w:rsidR="0028391F" w:rsidRPr="00B44BFF" w:rsidRDefault="0028391F" w:rsidP="0028391F">
            <w:pPr>
              <w:rPr>
                <w:rFonts w:ascii="Calibri" w:hAnsi="Calibri"/>
                <w:color w:val="000000"/>
              </w:rPr>
            </w:pPr>
          </w:p>
        </w:tc>
        <w:tc>
          <w:tcPr>
            <w:tcW w:w="2647" w:type="dxa"/>
          </w:tcPr>
          <w:p w14:paraId="3BB3CFED" w14:textId="77777777" w:rsidR="0028391F" w:rsidRPr="00B44BFF" w:rsidRDefault="0028391F" w:rsidP="0028391F">
            <w:pPr>
              <w:pStyle w:val="NoSpacing"/>
            </w:pPr>
          </w:p>
        </w:tc>
        <w:tc>
          <w:tcPr>
            <w:tcW w:w="2647" w:type="dxa"/>
          </w:tcPr>
          <w:p w14:paraId="44DCDD27" w14:textId="77777777" w:rsidR="00790427" w:rsidRDefault="009F311F" w:rsidP="00790427">
            <w:hyperlink r:id="rId59" w:history="1">
              <w:r w:rsidR="00790427" w:rsidRPr="00620F5B">
                <w:rPr>
                  <w:rStyle w:val="Hyperlink"/>
                </w:rPr>
                <w:t>http://www.fao.org/3/a-i3325e.pdf</w:t>
              </w:r>
            </w:hyperlink>
          </w:p>
          <w:p w14:paraId="7C3C9893" w14:textId="25484561" w:rsidR="0028391F" w:rsidRPr="00B44BFF" w:rsidRDefault="00790427" w:rsidP="00790427">
            <w:pPr>
              <w:pStyle w:val="NoSpacing"/>
            </w:pPr>
            <w:r>
              <w:t>pg. 547</w:t>
            </w:r>
          </w:p>
        </w:tc>
      </w:tr>
      <w:tr w:rsidR="0028391F" w14:paraId="0BE10741" w14:textId="77777777" w:rsidTr="001A06C1">
        <w:tc>
          <w:tcPr>
            <w:tcW w:w="1465" w:type="dxa"/>
            <w:shd w:val="clear" w:color="auto" w:fill="auto"/>
          </w:tcPr>
          <w:p w14:paraId="5B81BA28" w14:textId="12ED5CEF" w:rsidR="00D75B32" w:rsidRPr="00D75B32" w:rsidRDefault="0028391F" w:rsidP="0028391F">
            <w:pPr>
              <w:rPr>
                <w:rFonts w:ascii="Calibri" w:hAnsi="Calibri"/>
                <w:b/>
                <w:bCs/>
                <w:color w:val="000000"/>
              </w:rPr>
            </w:pPr>
            <w:r>
              <w:rPr>
                <w:rFonts w:ascii="Calibri" w:hAnsi="Calibri"/>
                <w:b/>
                <w:bCs/>
                <w:color w:val="000000"/>
              </w:rPr>
              <w:t>Adoption</w:t>
            </w:r>
            <w:r w:rsidR="00D75B32">
              <w:rPr>
                <w:rFonts w:ascii="Calibri" w:hAnsi="Calibri"/>
                <w:b/>
                <w:bCs/>
                <w:color w:val="000000"/>
              </w:rPr>
              <w:t xml:space="preserve"> or Application</w:t>
            </w:r>
            <w:r w:rsidR="00625847">
              <w:rPr>
                <w:rFonts w:ascii="Calibri" w:hAnsi="Calibri"/>
                <w:b/>
                <w:bCs/>
                <w:color w:val="000000"/>
              </w:rPr>
              <w:t xml:space="preserve"> of CSA P</w:t>
            </w:r>
            <w:r w:rsidR="0013144B">
              <w:rPr>
                <w:rFonts w:ascii="Calibri" w:hAnsi="Calibri"/>
                <w:b/>
                <w:bCs/>
                <w:color w:val="000000"/>
              </w:rPr>
              <w:t>ractices</w:t>
            </w:r>
          </w:p>
        </w:tc>
        <w:tc>
          <w:tcPr>
            <w:tcW w:w="4052" w:type="dxa"/>
            <w:shd w:val="clear" w:color="auto" w:fill="auto"/>
          </w:tcPr>
          <w:p w14:paraId="1ACF84F9" w14:textId="5EDD9A56" w:rsidR="0028391F" w:rsidRPr="000D52BB" w:rsidRDefault="0013144B" w:rsidP="0028391F">
            <w:pPr>
              <w:rPr>
                <w:rFonts w:ascii="Calibri" w:hAnsi="Calibri"/>
                <w:i/>
                <w:iCs/>
                <w:color w:val="000000"/>
              </w:rPr>
            </w:pPr>
            <w:r>
              <w:rPr>
                <w:rFonts w:ascii="Calibri" w:hAnsi="Calibri"/>
                <w:i/>
                <w:iCs/>
                <w:color w:val="000000"/>
              </w:rPr>
              <w:t>Many climate-smart agriculture interventions measure the number of practices adopted or implemented. There is no standard metric for this quality. Rather, donor requirement or the specific context of the project will inform how many practices must be implemented and how well in order to be considered adopted or applied.</w:t>
            </w:r>
          </w:p>
        </w:tc>
        <w:tc>
          <w:tcPr>
            <w:tcW w:w="2869" w:type="dxa"/>
            <w:shd w:val="clear" w:color="auto" w:fill="auto"/>
          </w:tcPr>
          <w:p w14:paraId="262D0246" w14:textId="24211FF0" w:rsidR="0028391F" w:rsidRPr="0013144B" w:rsidRDefault="0013144B" w:rsidP="009F311F">
            <w:pPr>
              <w:rPr>
                <w:rFonts w:ascii="Calibri" w:hAnsi="Calibri"/>
                <w:i/>
                <w:iCs/>
                <w:color w:val="000000"/>
              </w:rPr>
            </w:pPr>
            <w:r>
              <w:rPr>
                <w:rFonts w:ascii="Calibri" w:hAnsi="Calibri"/>
                <w:i/>
                <w:iCs/>
                <w:color w:val="000000"/>
              </w:rPr>
              <w:t>Must determine whether to count practices attempted or</w:t>
            </w:r>
            <w:r w:rsidR="009976DF">
              <w:rPr>
                <w:rFonts w:ascii="Calibri" w:hAnsi="Calibri"/>
                <w:i/>
                <w:iCs/>
                <w:color w:val="000000"/>
              </w:rPr>
              <w:t xml:space="preserve"> only</w:t>
            </w:r>
            <w:r>
              <w:rPr>
                <w:rFonts w:ascii="Calibri" w:hAnsi="Calibri"/>
                <w:i/>
                <w:iCs/>
                <w:color w:val="000000"/>
              </w:rPr>
              <w:t xml:space="preserve"> practices which show sustained improvement. If a </w:t>
            </w:r>
            <w:r w:rsidR="009F311F">
              <w:rPr>
                <w:rFonts w:ascii="Calibri" w:hAnsi="Calibri"/>
                <w:i/>
                <w:iCs/>
                <w:color w:val="000000"/>
              </w:rPr>
              <w:t xml:space="preserve">suite of multiple </w:t>
            </w:r>
            <w:r>
              <w:rPr>
                <w:rFonts w:ascii="Calibri" w:hAnsi="Calibri"/>
                <w:i/>
                <w:iCs/>
                <w:color w:val="000000"/>
              </w:rPr>
              <w:t xml:space="preserve">practices are promoted, how many are required? </w:t>
            </w:r>
          </w:p>
        </w:tc>
        <w:tc>
          <w:tcPr>
            <w:tcW w:w="2647" w:type="dxa"/>
          </w:tcPr>
          <w:p w14:paraId="27BD0BA7" w14:textId="1ECEA6D6" w:rsidR="0028391F" w:rsidRPr="00B44BFF" w:rsidRDefault="0013144B" w:rsidP="005B2777">
            <w:r>
              <w:t xml:space="preserve">Average </w:t>
            </w:r>
            <w:r w:rsidR="005B2777">
              <w:t>#</w:t>
            </w:r>
            <w:r>
              <w:t xml:space="preserve"> of climate-smart agriculture practices implemented by </w:t>
            </w:r>
            <w:r w:rsidR="005B2777">
              <w:t>participants</w:t>
            </w:r>
          </w:p>
        </w:tc>
        <w:tc>
          <w:tcPr>
            <w:tcW w:w="2647" w:type="dxa"/>
          </w:tcPr>
          <w:p w14:paraId="1A74BF71" w14:textId="77777777" w:rsidR="0028391F" w:rsidRPr="00B44BFF" w:rsidRDefault="0028391F" w:rsidP="0028391F"/>
        </w:tc>
      </w:tr>
      <w:tr w:rsidR="00392357" w14:paraId="1990EFE0" w14:textId="77777777" w:rsidTr="001A06C1">
        <w:tc>
          <w:tcPr>
            <w:tcW w:w="1465" w:type="dxa"/>
            <w:shd w:val="clear" w:color="auto" w:fill="auto"/>
          </w:tcPr>
          <w:p w14:paraId="52DFFABD" w14:textId="762041F3" w:rsidR="00392357" w:rsidRPr="00B44BFF" w:rsidRDefault="00392357" w:rsidP="00392357">
            <w:pPr>
              <w:rPr>
                <w:rFonts w:ascii="Calibri" w:hAnsi="Calibri"/>
                <w:b/>
                <w:bCs/>
                <w:color w:val="000000"/>
              </w:rPr>
            </w:pPr>
            <w:r>
              <w:rPr>
                <w:rFonts w:ascii="Calibri" w:hAnsi="Calibri"/>
                <w:b/>
                <w:bCs/>
                <w:color w:val="000000"/>
              </w:rPr>
              <w:t>Agro-forestry</w:t>
            </w:r>
          </w:p>
        </w:tc>
        <w:tc>
          <w:tcPr>
            <w:tcW w:w="4052" w:type="dxa"/>
            <w:shd w:val="clear" w:color="auto" w:fill="auto"/>
          </w:tcPr>
          <w:p w14:paraId="75A3125A" w14:textId="0E6E9C0E" w:rsidR="00392357" w:rsidRPr="00B44BFF" w:rsidRDefault="00392357" w:rsidP="00392357">
            <w:pPr>
              <w:rPr>
                <w:rFonts w:ascii="Calibri" w:hAnsi="Calibri"/>
                <w:color w:val="000000"/>
              </w:rPr>
            </w:pPr>
            <w:r>
              <w:rPr>
                <w:rFonts w:ascii="Calibri" w:hAnsi="Calibri"/>
                <w:color w:val="000000"/>
              </w:rPr>
              <w:t>“</w:t>
            </w:r>
            <w:r w:rsidRPr="00836F47">
              <w:rPr>
                <w:rFonts w:ascii="Calibri" w:hAnsi="Calibri"/>
                <w:color w:val="000000"/>
              </w:rPr>
              <w:t>Simultaneous production, temporary or permanent, of forest trees with agricultural crops or animals in the same place</w:t>
            </w:r>
            <w:r>
              <w:rPr>
                <w:rFonts w:ascii="Calibri" w:hAnsi="Calibri"/>
                <w:color w:val="000000"/>
              </w:rPr>
              <w:t>”</w:t>
            </w:r>
          </w:p>
        </w:tc>
        <w:tc>
          <w:tcPr>
            <w:tcW w:w="2869" w:type="dxa"/>
            <w:shd w:val="clear" w:color="auto" w:fill="auto"/>
          </w:tcPr>
          <w:p w14:paraId="0C0403E7" w14:textId="3CCF3BE3" w:rsidR="00392357" w:rsidRPr="00B44BFF" w:rsidRDefault="004D3E0A" w:rsidP="00392357">
            <w:pPr>
              <w:rPr>
                <w:rFonts w:ascii="Calibri" w:hAnsi="Calibri"/>
                <w:color w:val="000000"/>
              </w:rPr>
            </w:pPr>
            <w:r>
              <w:rPr>
                <w:rFonts w:ascii="Calibri" w:hAnsi="Calibri"/>
                <w:color w:val="000000"/>
              </w:rPr>
              <w:t>Diversification strategy. Helps income and food security</w:t>
            </w:r>
          </w:p>
        </w:tc>
        <w:tc>
          <w:tcPr>
            <w:tcW w:w="2647" w:type="dxa"/>
          </w:tcPr>
          <w:p w14:paraId="11167C7A" w14:textId="77777777" w:rsidR="00392357" w:rsidRPr="00B44BFF" w:rsidRDefault="00392357" w:rsidP="00392357"/>
        </w:tc>
        <w:tc>
          <w:tcPr>
            <w:tcW w:w="2647" w:type="dxa"/>
          </w:tcPr>
          <w:p w14:paraId="26B219B5" w14:textId="44657963" w:rsidR="00392357" w:rsidRPr="00B44BFF" w:rsidRDefault="009F311F" w:rsidP="00392357">
            <w:hyperlink r:id="rId60" w:history="1">
              <w:r w:rsidR="00392357" w:rsidRPr="00620F5B">
                <w:rPr>
                  <w:rStyle w:val="Hyperlink"/>
                </w:rPr>
                <w:t>http://aims.fao.org/skosmos/agrovoc/en/page/?uri=http%3A%2F%2Faims.fao.org%2Faos%2Fagrovoc%2Fc_207</w:t>
              </w:r>
            </w:hyperlink>
            <w:r w:rsidR="00392357">
              <w:t xml:space="preserve"> </w:t>
            </w:r>
          </w:p>
        </w:tc>
      </w:tr>
      <w:tr w:rsidR="00392357" w14:paraId="591D37F0" w14:textId="77777777" w:rsidTr="001A06C1">
        <w:tc>
          <w:tcPr>
            <w:tcW w:w="1465" w:type="dxa"/>
            <w:shd w:val="clear" w:color="auto" w:fill="auto"/>
          </w:tcPr>
          <w:p w14:paraId="233C5568" w14:textId="4793D0F8" w:rsidR="00392357" w:rsidRPr="00B44BFF" w:rsidRDefault="002B3CAE" w:rsidP="00392357">
            <w:pPr>
              <w:rPr>
                <w:rFonts w:ascii="Calibri" w:hAnsi="Calibri"/>
                <w:b/>
                <w:bCs/>
                <w:color w:val="000000"/>
              </w:rPr>
            </w:pPr>
            <w:r>
              <w:rPr>
                <w:rFonts w:ascii="Calibri" w:hAnsi="Calibri"/>
                <w:b/>
                <w:color w:val="000000"/>
              </w:rPr>
              <w:t>Climate-</w:t>
            </w:r>
            <w:r w:rsidR="00392357">
              <w:rPr>
                <w:rFonts w:ascii="Calibri" w:hAnsi="Calibri"/>
                <w:b/>
                <w:color w:val="000000"/>
              </w:rPr>
              <w:t>Smart Agriculture (</w:t>
            </w:r>
            <w:r w:rsidR="00392357" w:rsidRPr="00B44BFF">
              <w:rPr>
                <w:rFonts w:ascii="Calibri" w:hAnsi="Calibri"/>
                <w:b/>
                <w:color w:val="000000"/>
              </w:rPr>
              <w:t>CSA</w:t>
            </w:r>
            <w:r w:rsidR="00392357">
              <w:rPr>
                <w:rFonts w:ascii="Calibri" w:hAnsi="Calibri"/>
                <w:b/>
                <w:color w:val="000000"/>
              </w:rPr>
              <w:t>)</w:t>
            </w:r>
          </w:p>
        </w:tc>
        <w:tc>
          <w:tcPr>
            <w:tcW w:w="4052" w:type="dxa"/>
            <w:shd w:val="clear" w:color="auto" w:fill="auto"/>
          </w:tcPr>
          <w:p w14:paraId="5CA528E8" w14:textId="40E3D0E4" w:rsidR="00392357" w:rsidRPr="00B44BFF" w:rsidRDefault="00790427" w:rsidP="00790427">
            <w:pPr>
              <w:rPr>
                <w:rFonts w:ascii="Calibri" w:hAnsi="Calibri"/>
                <w:color w:val="000000"/>
              </w:rPr>
            </w:pPr>
            <w:r>
              <w:rPr>
                <w:rFonts w:ascii="Calibri" w:hAnsi="Calibri"/>
                <w:color w:val="000000"/>
              </w:rPr>
              <w:t>“</w:t>
            </w:r>
            <w:r w:rsidRPr="00790427">
              <w:rPr>
                <w:rFonts w:ascii="Calibri" w:hAnsi="Calibri"/>
                <w:color w:val="000000"/>
              </w:rPr>
              <w:t>Agriculture that sustainably increases productivity, resilience (adaptation),</w:t>
            </w:r>
            <w:r>
              <w:rPr>
                <w:rFonts w:ascii="Calibri" w:hAnsi="Calibri"/>
                <w:color w:val="000000"/>
              </w:rPr>
              <w:t xml:space="preserve"> </w:t>
            </w:r>
            <w:r w:rsidRPr="00790427">
              <w:rPr>
                <w:rFonts w:ascii="Calibri" w:hAnsi="Calibri"/>
                <w:color w:val="000000"/>
              </w:rPr>
              <w:t>reduces/removes greenhouse gases (mitigation), and enhances the achievement of national food security and</w:t>
            </w:r>
            <w:r>
              <w:rPr>
                <w:rFonts w:ascii="Calibri" w:hAnsi="Calibri"/>
                <w:color w:val="000000"/>
              </w:rPr>
              <w:t xml:space="preserve"> </w:t>
            </w:r>
            <w:r w:rsidRPr="00790427">
              <w:rPr>
                <w:rFonts w:ascii="Calibri" w:hAnsi="Calibri"/>
                <w:color w:val="000000"/>
              </w:rPr>
              <w:t>development goals.</w:t>
            </w:r>
            <w:r>
              <w:rPr>
                <w:rFonts w:ascii="Calibri" w:hAnsi="Calibri"/>
                <w:color w:val="000000"/>
              </w:rPr>
              <w:t>”</w:t>
            </w:r>
          </w:p>
        </w:tc>
        <w:tc>
          <w:tcPr>
            <w:tcW w:w="2869" w:type="dxa"/>
            <w:shd w:val="clear" w:color="auto" w:fill="auto"/>
          </w:tcPr>
          <w:p w14:paraId="471F39FA" w14:textId="1F41412A" w:rsidR="00392357" w:rsidRPr="00B44BFF" w:rsidRDefault="004B1269" w:rsidP="00392357">
            <w:pPr>
              <w:rPr>
                <w:rFonts w:ascii="Calibri" w:hAnsi="Calibri"/>
                <w:color w:val="000000"/>
              </w:rPr>
            </w:pPr>
            <w:r>
              <w:rPr>
                <w:rFonts w:ascii="Calibri" w:hAnsi="Calibri"/>
                <w:color w:val="000000"/>
              </w:rPr>
              <w:t>Three principles govern this approach: “build resilience by sustainably boosting agricultural yields and household income; support the transition to agricultural systems that are better adapted to climate change stress; and, where appropriate, reduce greenhouse gas emissions from agricultural activities and their influence on land-use conversion.”</w:t>
            </w:r>
          </w:p>
        </w:tc>
        <w:tc>
          <w:tcPr>
            <w:tcW w:w="2647" w:type="dxa"/>
          </w:tcPr>
          <w:p w14:paraId="140002AA" w14:textId="77777777" w:rsidR="00392357" w:rsidRPr="00B44BFF" w:rsidRDefault="00392357" w:rsidP="00392357"/>
        </w:tc>
        <w:tc>
          <w:tcPr>
            <w:tcW w:w="2647" w:type="dxa"/>
          </w:tcPr>
          <w:p w14:paraId="69C0B3A7" w14:textId="77777777" w:rsidR="00790427" w:rsidRDefault="009F311F" w:rsidP="00790427">
            <w:hyperlink r:id="rId61" w:history="1">
              <w:r w:rsidR="00790427" w:rsidRPr="00620F5B">
                <w:rPr>
                  <w:rStyle w:val="Hyperlink"/>
                </w:rPr>
                <w:t>http://www.fao.org/3/a-i3325e.pdf</w:t>
              </w:r>
            </w:hyperlink>
          </w:p>
          <w:p w14:paraId="1FDD10D6" w14:textId="77777777" w:rsidR="00790427" w:rsidRDefault="00790427" w:rsidP="00790427">
            <w:r>
              <w:t>pg. 548</w:t>
            </w:r>
          </w:p>
          <w:p w14:paraId="7EDBAB51" w14:textId="77777777" w:rsidR="004B1269" w:rsidRDefault="004B1269" w:rsidP="00790427"/>
          <w:p w14:paraId="5F72FB3D" w14:textId="4C4850DD" w:rsidR="004B1269" w:rsidRPr="00B44BFF" w:rsidRDefault="009F311F" w:rsidP="00790427">
            <w:hyperlink r:id="rId62" w:history="1">
              <w:r w:rsidR="004B1269" w:rsidRPr="007A3377">
                <w:rPr>
                  <w:rStyle w:val="Hyperlink"/>
                </w:rPr>
                <w:t>http://feedthefuture.gov/sites/default/files/resource/files/ftf_factsheet_climate_oct2014.pdf</w:t>
              </w:r>
            </w:hyperlink>
          </w:p>
        </w:tc>
      </w:tr>
      <w:tr w:rsidR="00392357" w14:paraId="38BBD461" w14:textId="77777777" w:rsidTr="001A06C1">
        <w:tc>
          <w:tcPr>
            <w:tcW w:w="1465" w:type="dxa"/>
            <w:shd w:val="clear" w:color="auto" w:fill="auto"/>
          </w:tcPr>
          <w:p w14:paraId="79287D2D" w14:textId="44D7E3A7" w:rsidR="00392357" w:rsidRPr="00B44BFF" w:rsidRDefault="00625847" w:rsidP="00D20A68">
            <w:pPr>
              <w:rPr>
                <w:rFonts w:ascii="Calibri" w:hAnsi="Calibri"/>
                <w:b/>
                <w:bCs/>
                <w:color w:val="000000"/>
              </w:rPr>
            </w:pPr>
            <w:r>
              <w:rPr>
                <w:rFonts w:ascii="Calibri" w:hAnsi="Calibri"/>
                <w:b/>
                <w:bCs/>
                <w:color w:val="000000"/>
              </w:rPr>
              <w:t>Improved T</w:t>
            </w:r>
            <w:r w:rsidR="00392357">
              <w:rPr>
                <w:rFonts w:ascii="Calibri" w:hAnsi="Calibri"/>
                <w:b/>
                <w:bCs/>
                <w:color w:val="000000"/>
              </w:rPr>
              <w:t>echnology</w:t>
            </w:r>
            <w:r w:rsidR="00D20A68">
              <w:rPr>
                <w:rFonts w:ascii="Calibri" w:hAnsi="Calibri"/>
                <w:b/>
                <w:bCs/>
                <w:color w:val="000000"/>
              </w:rPr>
              <w:t>/</w:t>
            </w:r>
            <w:r w:rsidR="00392357">
              <w:rPr>
                <w:rFonts w:ascii="Calibri" w:hAnsi="Calibri"/>
                <w:b/>
                <w:bCs/>
                <w:color w:val="000000"/>
              </w:rPr>
              <w:t xml:space="preserve"> </w:t>
            </w:r>
            <w:r>
              <w:rPr>
                <w:rFonts w:ascii="Calibri" w:hAnsi="Calibri"/>
                <w:b/>
                <w:bCs/>
                <w:color w:val="000000"/>
              </w:rPr>
              <w:t>Management P</w:t>
            </w:r>
            <w:r w:rsidR="00392357">
              <w:rPr>
                <w:rFonts w:ascii="Calibri" w:hAnsi="Calibri"/>
                <w:b/>
                <w:bCs/>
                <w:color w:val="000000"/>
              </w:rPr>
              <w:t>ractices</w:t>
            </w:r>
          </w:p>
        </w:tc>
        <w:tc>
          <w:tcPr>
            <w:tcW w:w="4052" w:type="dxa"/>
            <w:shd w:val="clear" w:color="auto" w:fill="auto"/>
          </w:tcPr>
          <w:p w14:paraId="3FD69ED6" w14:textId="518C90F1" w:rsidR="00775520" w:rsidRDefault="00775520" w:rsidP="00775520">
            <w:pPr>
              <w:rPr>
                <w:rFonts w:ascii="Calibri" w:hAnsi="Calibri"/>
                <w:i/>
                <w:iCs/>
                <w:color w:val="000000"/>
              </w:rPr>
            </w:pPr>
            <w:r>
              <w:rPr>
                <w:rFonts w:ascii="Calibri" w:hAnsi="Calibri"/>
                <w:i/>
                <w:iCs/>
                <w:color w:val="000000"/>
              </w:rPr>
              <w:t xml:space="preserve">Practices or technologies that are improved over what already exists and is implemented. This is a contextual measure. </w:t>
            </w:r>
          </w:p>
          <w:p w14:paraId="21571FE9" w14:textId="77777777" w:rsidR="00392357" w:rsidRPr="00B44BFF" w:rsidRDefault="00392357" w:rsidP="00392357">
            <w:pPr>
              <w:rPr>
                <w:rFonts w:ascii="Calibri" w:hAnsi="Calibri"/>
                <w:color w:val="000000"/>
                <w:bdr w:val="none" w:sz="0" w:space="0" w:color="auto" w:frame="1"/>
              </w:rPr>
            </w:pPr>
          </w:p>
        </w:tc>
        <w:tc>
          <w:tcPr>
            <w:tcW w:w="2869" w:type="dxa"/>
            <w:shd w:val="clear" w:color="auto" w:fill="auto"/>
          </w:tcPr>
          <w:p w14:paraId="266FEB2A" w14:textId="66D0046E" w:rsidR="00392357" w:rsidRPr="00B44BFF" w:rsidRDefault="00775520" w:rsidP="00392357">
            <w:pPr>
              <w:rPr>
                <w:rFonts w:ascii="Calibri" w:hAnsi="Calibri"/>
                <w:color w:val="000000"/>
              </w:rPr>
            </w:pPr>
            <w:r>
              <w:rPr>
                <w:rFonts w:ascii="Calibri" w:hAnsi="Calibri"/>
                <w:i/>
                <w:color w:val="000000"/>
              </w:rPr>
              <w:t>Must determine what qualifies as improvement in local context and at what scale. Reflection meetings might serve this purpose better than quantitative indicators.</w:t>
            </w:r>
          </w:p>
        </w:tc>
        <w:tc>
          <w:tcPr>
            <w:tcW w:w="2647" w:type="dxa"/>
          </w:tcPr>
          <w:p w14:paraId="2E9D629B" w14:textId="3A55E894" w:rsidR="00392357" w:rsidRPr="00B44BFF" w:rsidRDefault="00D73C8B" w:rsidP="00392357">
            <w:r>
              <w:t>#</w:t>
            </w:r>
            <w:r w:rsidR="00CD716F">
              <w:t xml:space="preserve"> of improved practices implemented</w:t>
            </w:r>
          </w:p>
        </w:tc>
        <w:tc>
          <w:tcPr>
            <w:tcW w:w="2647" w:type="dxa"/>
          </w:tcPr>
          <w:p w14:paraId="66DC9E8F" w14:textId="77777777" w:rsidR="00392357" w:rsidRPr="00B44BFF" w:rsidRDefault="00392357" w:rsidP="00392357"/>
        </w:tc>
      </w:tr>
      <w:tr w:rsidR="00392357" w14:paraId="100BB085" w14:textId="77777777" w:rsidTr="001A06C1">
        <w:tc>
          <w:tcPr>
            <w:tcW w:w="1465" w:type="dxa"/>
            <w:shd w:val="clear" w:color="auto" w:fill="auto"/>
          </w:tcPr>
          <w:p w14:paraId="18CF4D74" w14:textId="47A1E2F9" w:rsidR="00392357" w:rsidRPr="00B44BFF" w:rsidRDefault="00392357" w:rsidP="00775520">
            <w:pPr>
              <w:rPr>
                <w:rFonts w:ascii="Calibri" w:hAnsi="Calibri"/>
                <w:b/>
                <w:color w:val="000000"/>
              </w:rPr>
            </w:pPr>
            <w:r>
              <w:rPr>
                <w:rFonts w:ascii="Calibri" w:hAnsi="Calibri"/>
                <w:b/>
                <w:bCs/>
                <w:color w:val="000000"/>
              </w:rPr>
              <w:t>Mitigation</w:t>
            </w:r>
            <w:r w:rsidR="00146D13">
              <w:rPr>
                <w:rFonts w:ascii="Calibri" w:hAnsi="Calibri"/>
                <w:b/>
                <w:bCs/>
                <w:color w:val="000000"/>
              </w:rPr>
              <w:t xml:space="preserve"> (in relation to climate change)</w:t>
            </w:r>
          </w:p>
        </w:tc>
        <w:tc>
          <w:tcPr>
            <w:tcW w:w="4052" w:type="dxa"/>
            <w:shd w:val="clear" w:color="auto" w:fill="auto"/>
          </w:tcPr>
          <w:p w14:paraId="63DB282A" w14:textId="2A8BE108" w:rsidR="00392357" w:rsidRPr="00B44BFF" w:rsidRDefault="00146D13" w:rsidP="00392357">
            <w:pPr>
              <w:rPr>
                <w:rFonts w:ascii="Calibri" w:hAnsi="Calibri"/>
                <w:color w:val="000000"/>
              </w:rPr>
            </w:pPr>
            <w:r>
              <w:t>“Technological change and substitution that reduces resource inputs and emissions per unit of output. Although several social, economic and technological policies would produce an emission reduction, with respect to climate change, mitigation means implementing policies to reduce GHG emissions and enhance sinks.”</w:t>
            </w:r>
          </w:p>
        </w:tc>
        <w:tc>
          <w:tcPr>
            <w:tcW w:w="2869" w:type="dxa"/>
            <w:shd w:val="clear" w:color="auto" w:fill="auto"/>
          </w:tcPr>
          <w:p w14:paraId="69A0C8F8" w14:textId="293C15B0" w:rsidR="00392357" w:rsidRPr="0059022D" w:rsidRDefault="0059022D" w:rsidP="002421FB">
            <w:pPr>
              <w:rPr>
                <w:rFonts w:ascii="Calibri" w:hAnsi="Calibri"/>
                <w:i/>
                <w:iCs/>
                <w:color w:val="000000"/>
              </w:rPr>
            </w:pPr>
            <w:r>
              <w:rPr>
                <w:rFonts w:ascii="Calibri" w:hAnsi="Calibri"/>
                <w:i/>
                <w:iCs/>
                <w:color w:val="000000"/>
              </w:rPr>
              <w:t xml:space="preserve">Indicators about mitigation in relation to climate change </w:t>
            </w:r>
            <w:r w:rsidR="00D73C8B">
              <w:rPr>
                <w:rFonts w:ascii="Calibri" w:hAnsi="Calibri"/>
                <w:i/>
                <w:iCs/>
                <w:color w:val="000000"/>
              </w:rPr>
              <w:t>can refer to policies and practices that reduce GHG emissions or improve GHG sinks.</w:t>
            </w:r>
          </w:p>
        </w:tc>
        <w:tc>
          <w:tcPr>
            <w:tcW w:w="2647" w:type="dxa"/>
          </w:tcPr>
          <w:p w14:paraId="584AB9A5" w14:textId="5C7846D5" w:rsidR="00392357" w:rsidRPr="00B44BFF" w:rsidRDefault="00D73C8B" w:rsidP="00D73C8B">
            <w:r>
              <w:t xml:space="preserve"># of hectares </w:t>
            </w:r>
            <w:r w:rsidR="002C78AF">
              <w:t>newly planted</w:t>
            </w:r>
            <w:r>
              <w:t xml:space="preserve"> </w:t>
            </w:r>
          </w:p>
        </w:tc>
        <w:tc>
          <w:tcPr>
            <w:tcW w:w="2647" w:type="dxa"/>
          </w:tcPr>
          <w:p w14:paraId="102F2D7C" w14:textId="77777777" w:rsidR="00146D13" w:rsidRDefault="009F311F" w:rsidP="00146D13">
            <w:hyperlink r:id="rId63" w:history="1">
              <w:r w:rsidR="00146D13" w:rsidRPr="00620F5B">
                <w:rPr>
                  <w:rStyle w:val="Hyperlink"/>
                </w:rPr>
                <w:t>http://www.fao.org/3/a-i3325e.pdf</w:t>
              </w:r>
            </w:hyperlink>
          </w:p>
          <w:p w14:paraId="45C0C9D4" w14:textId="788494E2" w:rsidR="00392357" w:rsidRPr="00B44BFF" w:rsidRDefault="00146D13" w:rsidP="00146D13">
            <w:r>
              <w:t>pg. 553</w:t>
            </w:r>
          </w:p>
        </w:tc>
      </w:tr>
      <w:tr w:rsidR="00146D13" w14:paraId="729134C2" w14:textId="77777777" w:rsidTr="001A06C1">
        <w:tc>
          <w:tcPr>
            <w:tcW w:w="1465" w:type="dxa"/>
            <w:shd w:val="clear" w:color="auto" w:fill="auto"/>
          </w:tcPr>
          <w:p w14:paraId="6297A87D" w14:textId="5344A687" w:rsidR="00146D13" w:rsidRDefault="00146D13" w:rsidP="00775520">
            <w:pPr>
              <w:rPr>
                <w:rFonts w:ascii="Calibri" w:hAnsi="Calibri"/>
                <w:b/>
                <w:bCs/>
                <w:color w:val="000000"/>
              </w:rPr>
            </w:pPr>
            <w:r>
              <w:rPr>
                <w:rFonts w:ascii="Calibri" w:hAnsi="Calibri"/>
                <w:b/>
                <w:bCs/>
                <w:color w:val="000000"/>
              </w:rPr>
              <w:t>Mitigation (in relation to hazards)</w:t>
            </w:r>
          </w:p>
        </w:tc>
        <w:tc>
          <w:tcPr>
            <w:tcW w:w="4052" w:type="dxa"/>
            <w:shd w:val="clear" w:color="auto" w:fill="auto"/>
          </w:tcPr>
          <w:p w14:paraId="6F27B5D3" w14:textId="4242887A" w:rsidR="00146D13" w:rsidRPr="00B44BFF" w:rsidRDefault="00146D13" w:rsidP="00392357">
            <w:pPr>
              <w:rPr>
                <w:rFonts w:ascii="Calibri" w:hAnsi="Calibri"/>
                <w:color w:val="000000"/>
              </w:rPr>
            </w:pPr>
            <w:r>
              <w:rPr>
                <w:rFonts w:ascii="Calibri" w:hAnsi="Calibri"/>
                <w:color w:val="000000"/>
              </w:rPr>
              <w:t>“</w:t>
            </w:r>
            <w:r w:rsidRPr="00146D13">
              <w:rPr>
                <w:rFonts w:ascii="Calibri" w:hAnsi="Calibri"/>
                <w:color w:val="000000"/>
              </w:rPr>
              <w:t>The limiting or lessening of the adverse impacts of hazards and related disasters.</w:t>
            </w:r>
            <w:r>
              <w:rPr>
                <w:rFonts w:ascii="Calibri" w:hAnsi="Calibri"/>
                <w:color w:val="000000"/>
              </w:rPr>
              <w:t>”</w:t>
            </w:r>
          </w:p>
        </w:tc>
        <w:tc>
          <w:tcPr>
            <w:tcW w:w="2869" w:type="dxa"/>
            <w:shd w:val="clear" w:color="auto" w:fill="auto"/>
          </w:tcPr>
          <w:p w14:paraId="61774780" w14:textId="70ABFABB" w:rsidR="00146D13" w:rsidRPr="00B44BFF" w:rsidRDefault="00737179" w:rsidP="00392357">
            <w:pPr>
              <w:rPr>
                <w:rFonts w:ascii="Calibri" w:hAnsi="Calibri"/>
                <w:color w:val="000000"/>
              </w:rPr>
            </w:pPr>
            <w:r>
              <w:rPr>
                <w:rFonts w:ascii="Calibri" w:hAnsi="Calibri"/>
                <w:color w:val="000000"/>
              </w:rPr>
              <w:t xml:space="preserve">Mitigation in relation to hazards is highly related to Disaster Risk Reduction (DRR) which is covered in LWR’s Climate Change Objective Strategy. </w:t>
            </w:r>
          </w:p>
        </w:tc>
        <w:tc>
          <w:tcPr>
            <w:tcW w:w="2647" w:type="dxa"/>
          </w:tcPr>
          <w:p w14:paraId="37FEF069" w14:textId="77777777" w:rsidR="00146D13" w:rsidRPr="00B44BFF" w:rsidRDefault="00146D13" w:rsidP="00392357"/>
        </w:tc>
        <w:tc>
          <w:tcPr>
            <w:tcW w:w="2647" w:type="dxa"/>
          </w:tcPr>
          <w:p w14:paraId="348E7914" w14:textId="77777777" w:rsidR="00146D13" w:rsidRDefault="009F311F" w:rsidP="00146D13">
            <w:hyperlink r:id="rId64" w:history="1">
              <w:r w:rsidR="00146D13" w:rsidRPr="00620F5B">
                <w:rPr>
                  <w:rStyle w:val="Hyperlink"/>
                </w:rPr>
                <w:t>http://www.fao.org/3/a-i3325e.pdf</w:t>
              </w:r>
            </w:hyperlink>
          </w:p>
          <w:p w14:paraId="4A59D019" w14:textId="5CD1431F" w:rsidR="00146D13" w:rsidRPr="00B44BFF" w:rsidRDefault="00146D13" w:rsidP="00146D13">
            <w:r>
              <w:t>pg. 553</w:t>
            </w:r>
          </w:p>
        </w:tc>
      </w:tr>
      <w:tr w:rsidR="00392357" w14:paraId="1791D2BD" w14:textId="77777777" w:rsidTr="001A06C1">
        <w:tc>
          <w:tcPr>
            <w:tcW w:w="1465" w:type="dxa"/>
            <w:shd w:val="clear" w:color="auto" w:fill="auto"/>
          </w:tcPr>
          <w:p w14:paraId="5869DF3C" w14:textId="77777777" w:rsidR="002D2A33" w:rsidRDefault="00392357" w:rsidP="00392357">
            <w:pPr>
              <w:rPr>
                <w:rFonts w:ascii="Calibri" w:hAnsi="Calibri"/>
                <w:b/>
                <w:bCs/>
                <w:color w:val="000000"/>
              </w:rPr>
            </w:pPr>
            <w:r>
              <w:rPr>
                <w:rFonts w:ascii="Calibri" w:hAnsi="Calibri"/>
                <w:b/>
                <w:bCs/>
                <w:color w:val="000000"/>
              </w:rPr>
              <w:t>Natural Resource Management (</w:t>
            </w:r>
            <w:r w:rsidRPr="00B44BFF">
              <w:rPr>
                <w:rFonts w:ascii="Calibri" w:hAnsi="Calibri"/>
                <w:b/>
                <w:bCs/>
                <w:color w:val="000000"/>
              </w:rPr>
              <w:t>NRM</w:t>
            </w:r>
            <w:r>
              <w:rPr>
                <w:rFonts w:ascii="Calibri" w:hAnsi="Calibri"/>
                <w:b/>
                <w:bCs/>
                <w:color w:val="000000"/>
              </w:rPr>
              <w:t>)</w:t>
            </w:r>
            <w:r w:rsidR="00C3344B">
              <w:rPr>
                <w:rFonts w:ascii="Calibri" w:hAnsi="Calibri"/>
                <w:b/>
                <w:bCs/>
                <w:color w:val="000000"/>
              </w:rPr>
              <w:t xml:space="preserve"> </w:t>
            </w:r>
          </w:p>
          <w:p w14:paraId="28289536" w14:textId="77777777" w:rsidR="002D2A33" w:rsidRDefault="002D2A33" w:rsidP="00392357">
            <w:pPr>
              <w:rPr>
                <w:rFonts w:ascii="Calibri" w:hAnsi="Calibri"/>
                <w:b/>
                <w:bCs/>
                <w:color w:val="000000"/>
              </w:rPr>
            </w:pPr>
          </w:p>
          <w:p w14:paraId="6957A4E8" w14:textId="70A5EAAB" w:rsidR="002D2A33" w:rsidRDefault="00C3344B" w:rsidP="00392357">
            <w:pPr>
              <w:rPr>
                <w:rFonts w:ascii="Calibri" w:hAnsi="Calibri"/>
                <w:b/>
                <w:bCs/>
                <w:color w:val="000000"/>
              </w:rPr>
            </w:pPr>
            <w:r>
              <w:rPr>
                <w:rFonts w:ascii="Calibri" w:hAnsi="Calibri"/>
                <w:b/>
                <w:bCs/>
                <w:color w:val="000000"/>
              </w:rPr>
              <w:t xml:space="preserve">or </w:t>
            </w:r>
          </w:p>
          <w:p w14:paraId="37F11275" w14:textId="77777777" w:rsidR="002D2A33" w:rsidRDefault="002D2A33" w:rsidP="00392357">
            <w:pPr>
              <w:rPr>
                <w:rFonts w:ascii="Calibri" w:hAnsi="Calibri"/>
                <w:b/>
                <w:bCs/>
                <w:color w:val="000000"/>
              </w:rPr>
            </w:pPr>
          </w:p>
          <w:p w14:paraId="2B7FA460" w14:textId="625E582F" w:rsidR="00392357" w:rsidRPr="00B44BFF" w:rsidRDefault="00C3344B" w:rsidP="00392357">
            <w:pPr>
              <w:rPr>
                <w:rFonts w:ascii="Calibri" w:hAnsi="Calibri"/>
                <w:b/>
                <w:bCs/>
                <w:color w:val="000000"/>
              </w:rPr>
            </w:pPr>
            <w:r>
              <w:rPr>
                <w:rFonts w:ascii="Calibri" w:hAnsi="Calibri"/>
                <w:b/>
                <w:bCs/>
                <w:color w:val="000000"/>
              </w:rPr>
              <w:t>Sustainable Land Management (SLM)</w:t>
            </w:r>
          </w:p>
        </w:tc>
        <w:tc>
          <w:tcPr>
            <w:tcW w:w="4052" w:type="dxa"/>
            <w:shd w:val="clear" w:color="auto" w:fill="auto"/>
          </w:tcPr>
          <w:p w14:paraId="71F87B56" w14:textId="77777777" w:rsidR="00392357" w:rsidRDefault="002D2A33" w:rsidP="00392357">
            <w:pPr>
              <w:rPr>
                <w:rFonts w:ascii="Calibri" w:hAnsi="Calibri"/>
                <w:color w:val="000000"/>
              </w:rPr>
            </w:pPr>
            <w:r>
              <w:rPr>
                <w:rFonts w:ascii="Calibri" w:hAnsi="Calibri"/>
                <w:color w:val="000000"/>
              </w:rPr>
              <w:t>“T</w:t>
            </w:r>
            <w:r w:rsidR="00044C53" w:rsidRPr="00044C53">
              <w:rPr>
                <w:rFonts w:ascii="Calibri" w:hAnsi="Calibri"/>
                <w:color w:val="000000"/>
              </w:rPr>
              <w:t>he use of land resources, including soils, water, animals and plants, for the production of goods to meet changing human needs, while simultaneously ensuring the long-term productive potential of these resources and the maintenance of their environmental functions” (UN Earth Summit, 1992)</w:t>
            </w:r>
          </w:p>
          <w:p w14:paraId="64A077D8" w14:textId="77777777" w:rsidR="00BC4BB0" w:rsidRDefault="00BC4BB0" w:rsidP="00392357">
            <w:pPr>
              <w:rPr>
                <w:rFonts w:ascii="Calibri" w:hAnsi="Calibri"/>
                <w:color w:val="000000"/>
              </w:rPr>
            </w:pPr>
          </w:p>
          <w:p w14:paraId="3109B975" w14:textId="7E55B8A9" w:rsidR="00BC4BB0" w:rsidRDefault="00BC4BB0" w:rsidP="00BC4BB0">
            <w:pPr>
              <w:rPr>
                <w:rFonts w:ascii="Calibri" w:hAnsi="Calibri"/>
                <w:color w:val="000000"/>
              </w:rPr>
            </w:pPr>
            <w:r>
              <w:rPr>
                <w:rFonts w:ascii="Calibri" w:hAnsi="Calibri"/>
                <w:color w:val="000000"/>
              </w:rPr>
              <w:t>This involve</w:t>
            </w:r>
            <w:r w:rsidR="00085A0C">
              <w:rPr>
                <w:rFonts w:ascii="Calibri" w:hAnsi="Calibri"/>
                <w:color w:val="000000"/>
              </w:rPr>
              <w:t>s</w:t>
            </w:r>
            <w:r>
              <w:rPr>
                <w:rFonts w:ascii="Calibri" w:hAnsi="Calibri"/>
                <w:color w:val="000000"/>
              </w:rPr>
              <w:t xml:space="preserve"> a merger of agriculture and the environment through the</w:t>
            </w:r>
            <w:r w:rsidR="002421FB">
              <w:rPr>
                <w:rFonts w:ascii="Calibri" w:hAnsi="Calibri"/>
                <w:color w:val="000000"/>
              </w:rPr>
              <w:t xml:space="preserve"> two</w:t>
            </w:r>
            <w:r>
              <w:rPr>
                <w:rFonts w:ascii="Calibri" w:hAnsi="Calibri"/>
                <w:color w:val="000000"/>
              </w:rPr>
              <w:t xml:space="preserve"> objectives:</w:t>
            </w:r>
          </w:p>
          <w:p w14:paraId="21B08D59" w14:textId="59AA8672" w:rsidR="00BC4BB0" w:rsidRDefault="00085A0C" w:rsidP="00BC4BB0">
            <w:pPr>
              <w:rPr>
                <w:rFonts w:ascii="Calibri" w:hAnsi="Calibri"/>
                <w:color w:val="000000"/>
              </w:rPr>
            </w:pPr>
            <w:r>
              <w:rPr>
                <w:rFonts w:ascii="Calibri" w:hAnsi="Calibri"/>
                <w:color w:val="000000"/>
              </w:rPr>
              <w:t>1.</w:t>
            </w:r>
            <w:r w:rsidR="00BC4BB0" w:rsidRPr="00BC4BB0">
              <w:rPr>
                <w:rFonts w:ascii="Calibri" w:hAnsi="Calibri"/>
                <w:color w:val="000000"/>
              </w:rPr>
              <w:t xml:space="preserve"> maintaining long term productivity of the ecosystem functions </w:t>
            </w:r>
            <w:r w:rsidR="00BC4BB0">
              <w:rPr>
                <w:rFonts w:ascii="Calibri" w:hAnsi="Calibri"/>
                <w:color w:val="000000"/>
              </w:rPr>
              <w:t>(land, water, biodiversity)</w:t>
            </w:r>
          </w:p>
          <w:p w14:paraId="5AD1CA58" w14:textId="5F6C251C" w:rsidR="00BC4BB0" w:rsidRPr="00B44BFF" w:rsidRDefault="00085A0C" w:rsidP="00085A0C">
            <w:pPr>
              <w:rPr>
                <w:rFonts w:ascii="Calibri" w:hAnsi="Calibri"/>
                <w:color w:val="000000"/>
              </w:rPr>
            </w:pPr>
            <w:r>
              <w:rPr>
                <w:rFonts w:ascii="Calibri" w:hAnsi="Calibri"/>
                <w:color w:val="000000"/>
              </w:rPr>
              <w:t>2.</w:t>
            </w:r>
            <w:r w:rsidR="00BC4BB0" w:rsidRPr="00BC4BB0">
              <w:rPr>
                <w:rFonts w:ascii="Calibri" w:hAnsi="Calibri"/>
                <w:color w:val="000000"/>
              </w:rPr>
              <w:t xml:space="preserve"> increasing productivity (quality, quantity and diversity) of goods and services, and particularly safe and healthy foo</w:t>
            </w:r>
            <w:r w:rsidR="00BC4BB0">
              <w:rPr>
                <w:rFonts w:ascii="Calibri" w:hAnsi="Calibri"/>
                <w:color w:val="000000"/>
              </w:rPr>
              <w:t>d</w:t>
            </w:r>
          </w:p>
        </w:tc>
        <w:tc>
          <w:tcPr>
            <w:tcW w:w="2869" w:type="dxa"/>
            <w:shd w:val="clear" w:color="auto" w:fill="auto"/>
          </w:tcPr>
          <w:p w14:paraId="3D4C7925" w14:textId="0118D0E4" w:rsidR="00392357" w:rsidRPr="00B44BFF" w:rsidRDefault="00085A0C" w:rsidP="00392357">
            <w:pPr>
              <w:rPr>
                <w:rFonts w:ascii="Calibri" w:hAnsi="Calibri"/>
                <w:color w:val="000000"/>
              </w:rPr>
            </w:pPr>
            <w:r>
              <w:rPr>
                <w:rFonts w:ascii="Calibri" w:hAnsi="Calibri"/>
                <w:color w:val="000000"/>
              </w:rPr>
              <w:t xml:space="preserve">NRM and SLM cover a broad range of agriculture and environment dimensions. Specific indicators and management practices will depend on the scope and context of </w:t>
            </w:r>
            <w:r w:rsidR="002421FB">
              <w:rPr>
                <w:rFonts w:ascii="Calibri" w:hAnsi="Calibri"/>
                <w:color w:val="000000"/>
              </w:rPr>
              <w:t>the</w:t>
            </w:r>
            <w:r>
              <w:rPr>
                <w:rFonts w:ascii="Calibri" w:hAnsi="Calibri"/>
                <w:color w:val="000000"/>
              </w:rPr>
              <w:t xml:space="preserve"> intervention. </w:t>
            </w:r>
          </w:p>
        </w:tc>
        <w:tc>
          <w:tcPr>
            <w:tcW w:w="2647" w:type="dxa"/>
          </w:tcPr>
          <w:p w14:paraId="39D05EDA" w14:textId="77777777" w:rsidR="00392357" w:rsidRPr="00B44BFF" w:rsidRDefault="00392357" w:rsidP="00392357"/>
        </w:tc>
        <w:tc>
          <w:tcPr>
            <w:tcW w:w="2647" w:type="dxa"/>
          </w:tcPr>
          <w:p w14:paraId="1EE66959" w14:textId="7373E378" w:rsidR="00392357" w:rsidRDefault="009F311F" w:rsidP="00392357">
            <w:hyperlink r:id="rId65" w:history="1">
              <w:r w:rsidR="00044C53" w:rsidRPr="00812CE5">
                <w:rPr>
                  <w:rStyle w:val="Hyperlink"/>
                </w:rPr>
                <w:t>http://www.fao.org/nr/land/sustainable-land-management/en/</w:t>
              </w:r>
            </w:hyperlink>
          </w:p>
          <w:p w14:paraId="3FEA71E6" w14:textId="77777777" w:rsidR="00044C53" w:rsidRDefault="00044C53" w:rsidP="00392357"/>
          <w:p w14:paraId="09D3A5F1" w14:textId="39417305" w:rsidR="00044C53" w:rsidRPr="00B44BFF" w:rsidRDefault="00044C53" w:rsidP="00392357"/>
        </w:tc>
      </w:tr>
      <w:tr w:rsidR="00392357" w14:paraId="7F6B0D5F" w14:textId="77777777" w:rsidTr="001A06C1">
        <w:tc>
          <w:tcPr>
            <w:tcW w:w="1465" w:type="dxa"/>
            <w:shd w:val="clear" w:color="auto" w:fill="auto"/>
          </w:tcPr>
          <w:p w14:paraId="504E5B60" w14:textId="1FCE6FA9" w:rsidR="00392357" w:rsidRPr="00B44BFF" w:rsidRDefault="00392357" w:rsidP="00392357">
            <w:pPr>
              <w:rPr>
                <w:rFonts w:ascii="Calibri" w:hAnsi="Calibri"/>
                <w:b/>
                <w:bCs/>
                <w:color w:val="000000"/>
              </w:rPr>
            </w:pPr>
            <w:r>
              <w:rPr>
                <w:rFonts w:ascii="Calibri" w:hAnsi="Calibri"/>
                <w:b/>
                <w:color w:val="000000"/>
              </w:rPr>
              <w:t>Productivity</w:t>
            </w:r>
          </w:p>
        </w:tc>
        <w:tc>
          <w:tcPr>
            <w:tcW w:w="4052" w:type="dxa"/>
            <w:shd w:val="clear" w:color="auto" w:fill="auto"/>
          </w:tcPr>
          <w:p w14:paraId="3B860C9D" w14:textId="77777777" w:rsidR="00392357" w:rsidRDefault="00392357" w:rsidP="00392357">
            <w:pPr>
              <w:rPr>
                <w:rFonts w:ascii="Calibri" w:hAnsi="Calibri"/>
                <w:color w:val="000000"/>
                <w:bdr w:val="none" w:sz="0" w:space="0" w:color="auto" w:frame="1"/>
              </w:rPr>
            </w:pPr>
            <w:r>
              <w:rPr>
                <w:rFonts w:ascii="Calibri" w:hAnsi="Calibri"/>
                <w:color w:val="000000"/>
                <w:bdr w:val="none" w:sz="0" w:space="0" w:color="auto" w:frame="1"/>
              </w:rPr>
              <w:t xml:space="preserve">Productivity is a measure of output from a production process, per unit of input. Output/Input </w:t>
            </w:r>
          </w:p>
          <w:p w14:paraId="209EB336" w14:textId="77777777" w:rsidR="00392357" w:rsidRDefault="00392357" w:rsidP="00392357">
            <w:pPr>
              <w:rPr>
                <w:rFonts w:ascii="Calibri" w:hAnsi="Calibri"/>
                <w:color w:val="000000"/>
                <w:bdr w:val="none" w:sz="0" w:space="0" w:color="auto" w:frame="1"/>
              </w:rPr>
            </w:pPr>
          </w:p>
          <w:p w14:paraId="69144CFC" w14:textId="034DDFBC" w:rsidR="00392357" w:rsidRPr="00B44BFF" w:rsidRDefault="00392357" w:rsidP="00392357">
            <w:pPr>
              <w:rPr>
                <w:rFonts w:ascii="Calibri" w:hAnsi="Calibri"/>
                <w:color w:val="000000"/>
              </w:rPr>
            </w:pPr>
            <w:r>
              <w:rPr>
                <w:rFonts w:ascii="Calibri" w:hAnsi="Calibri"/>
                <w:color w:val="000000"/>
                <w:bdr w:val="none" w:sz="0" w:space="0" w:color="auto" w:frame="1"/>
              </w:rPr>
              <w:t>Productivity = TP / IC</w:t>
            </w:r>
          </w:p>
        </w:tc>
        <w:tc>
          <w:tcPr>
            <w:tcW w:w="2869" w:type="dxa"/>
            <w:shd w:val="clear" w:color="auto" w:fill="auto"/>
          </w:tcPr>
          <w:p w14:paraId="4ADA5AF4" w14:textId="5D8CDCDA" w:rsidR="00392357" w:rsidRPr="00B44BFF" w:rsidRDefault="00392357" w:rsidP="00392357">
            <w:pPr>
              <w:rPr>
                <w:rFonts w:ascii="Calibri" w:hAnsi="Calibri"/>
                <w:color w:val="000000"/>
              </w:rPr>
            </w:pPr>
            <w:r>
              <w:rPr>
                <w:rFonts w:ascii="Calibri" w:hAnsi="Calibri"/>
                <w:color w:val="000000"/>
              </w:rPr>
              <w:t>Consider measuring productivity by the most limiting factor. This can vary in different contexts.</w:t>
            </w:r>
          </w:p>
        </w:tc>
        <w:tc>
          <w:tcPr>
            <w:tcW w:w="2647" w:type="dxa"/>
          </w:tcPr>
          <w:p w14:paraId="35E022B3" w14:textId="77777777" w:rsidR="00392357" w:rsidRPr="00B44BFF" w:rsidRDefault="00392357" w:rsidP="00392357"/>
        </w:tc>
        <w:tc>
          <w:tcPr>
            <w:tcW w:w="2647" w:type="dxa"/>
          </w:tcPr>
          <w:p w14:paraId="72A0019E" w14:textId="000181D3" w:rsidR="00392357" w:rsidRPr="00B44BFF" w:rsidRDefault="00392357" w:rsidP="00392357">
            <w:r>
              <w:t xml:space="preserve">FAO </w:t>
            </w:r>
            <w:hyperlink r:id="rId66" w:history="1">
              <w:r w:rsidRPr="00BC3BE2">
                <w:rPr>
                  <w:rStyle w:val="Hyperlink"/>
                </w:rPr>
                <w:t>http://aims.fao.org/skosmos/agrovoc/en/page/c_6210</w:t>
              </w:r>
            </w:hyperlink>
          </w:p>
        </w:tc>
      </w:tr>
      <w:tr w:rsidR="00392357" w14:paraId="2086CE5F" w14:textId="77777777" w:rsidTr="001A06C1">
        <w:tc>
          <w:tcPr>
            <w:tcW w:w="1465" w:type="dxa"/>
            <w:shd w:val="clear" w:color="auto" w:fill="auto"/>
          </w:tcPr>
          <w:p w14:paraId="48ECE2D5" w14:textId="2C633F52" w:rsidR="00392357" w:rsidRPr="00B44BFF" w:rsidRDefault="00392357" w:rsidP="00392357">
            <w:pPr>
              <w:rPr>
                <w:rFonts w:ascii="Calibri" w:hAnsi="Calibri"/>
                <w:b/>
                <w:bCs/>
                <w:color w:val="000000"/>
              </w:rPr>
            </w:pPr>
            <w:r w:rsidRPr="00383B19">
              <w:rPr>
                <w:rFonts w:ascii="Calibri" w:hAnsi="Calibri"/>
                <w:b/>
                <w:bCs/>
                <w:color w:val="000000"/>
              </w:rPr>
              <w:t>Profit (P)</w:t>
            </w:r>
          </w:p>
        </w:tc>
        <w:tc>
          <w:tcPr>
            <w:tcW w:w="4052" w:type="dxa"/>
            <w:shd w:val="clear" w:color="auto" w:fill="auto"/>
          </w:tcPr>
          <w:p w14:paraId="4CDCF7B2" w14:textId="77777777" w:rsidR="00392357" w:rsidRDefault="00392357" w:rsidP="00392357">
            <w:pPr>
              <w:rPr>
                <w:rFonts w:ascii="Calibri" w:hAnsi="Calibri"/>
                <w:color w:val="000000"/>
              </w:rPr>
            </w:pPr>
            <w:r>
              <w:rPr>
                <w:rFonts w:ascii="Calibri" w:hAnsi="Calibri"/>
                <w:color w:val="000000"/>
              </w:rPr>
              <w:t>Income from sale of agricultural products less input costs.</w:t>
            </w:r>
          </w:p>
          <w:p w14:paraId="5417562F" w14:textId="77777777" w:rsidR="00392357" w:rsidRDefault="00392357" w:rsidP="00392357">
            <w:pPr>
              <w:rPr>
                <w:rFonts w:ascii="Calibri" w:hAnsi="Calibri"/>
                <w:color w:val="000000"/>
              </w:rPr>
            </w:pPr>
          </w:p>
          <w:p w14:paraId="42C6DFD1" w14:textId="1E521FD8" w:rsidR="00392357" w:rsidRPr="00B44BFF" w:rsidRDefault="00392357" w:rsidP="00392357">
            <w:pPr>
              <w:rPr>
                <w:rFonts w:ascii="Calibri" w:hAnsi="Calibri"/>
                <w:color w:val="000000"/>
              </w:rPr>
            </w:pPr>
            <w:r>
              <w:rPr>
                <w:rFonts w:ascii="Calibri" w:hAnsi="Calibri"/>
                <w:color w:val="000000"/>
              </w:rPr>
              <w:t>P = I - IC</w:t>
            </w:r>
          </w:p>
        </w:tc>
        <w:tc>
          <w:tcPr>
            <w:tcW w:w="2869" w:type="dxa"/>
            <w:shd w:val="clear" w:color="auto" w:fill="auto"/>
          </w:tcPr>
          <w:p w14:paraId="628537FB" w14:textId="3D67C315" w:rsidR="00392357" w:rsidRPr="00B44BFF" w:rsidRDefault="00392357" w:rsidP="00392357">
            <w:pPr>
              <w:rPr>
                <w:rFonts w:ascii="Calibri" w:hAnsi="Calibri"/>
                <w:color w:val="000000"/>
              </w:rPr>
            </w:pPr>
            <w:r>
              <w:rPr>
                <w:rFonts w:ascii="Calibri" w:hAnsi="Calibri"/>
                <w:color w:val="000000"/>
              </w:rPr>
              <w:t>Profit is the net income from an agricultural endeavor, not net household income.</w:t>
            </w:r>
          </w:p>
        </w:tc>
        <w:tc>
          <w:tcPr>
            <w:tcW w:w="2647" w:type="dxa"/>
          </w:tcPr>
          <w:p w14:paraId="2BC176F8" w14:textId="50B3E1DB" w:rsidR="00392357" w:rsidRPr="00B44BFF" w:rsidRDefault="00392357" w:rsidP="00392357"/>
        </w:tc>
        <w:tc>
          <w:tcPr>
            <w:tcW w:w="2647" w:type="dxa"/>
          </w:tcPr>
          <w:p w14:paraId="37FDD951" w14:textId="77777777" w:rsidR="00392357" w:rsidRPr="00B44BFF" w:rsidRDefault="00392357" w:rsidP="00392357"/>
        </w:tc>
      </w:tr>
      <w:tr w:rsidR="00392357" w14:paraId="543E190E" w14:textId="77777777" w:rsidTr="001A06C1">
        <w:tc>
          <w:tcPr>
            <w:tcW w:w="1465" w:type="dxa"/>
            <w:shd w:val="clear" w:color="auto" w:fill="auto"/>
          </w:tcPr>
          <w:p w14:paraId="6EA7D319" w14:textId="023E3570" w:rsidR="00392357" w:rsidRPr="00B44BFF" w:rsidRDefault="00392357" w:rsidP="00392357">
            <w:pPr>
              <w:rPr>
                <w:rFonts w:ascii="Calibri" w:hAnsi="Calibri"/>
                <w:b/>
                <w:bCs/>
                <w:color w:val="000000"/>
              </w:rPr>
            </w:pPr>
            <w:r>
              <w:rPr>
                <w:rFonts w:ascii="Calibri" w:hAnsi="Calibri"/>
                <w:b/>
                <w:color w:val="000000"/>
              </w:rPr>
              <w:t>Yield</w:t>
            </w:r>
          </w:p>
        </w:tc>
        <w:tc>
          <w:tcPr>
            <w:tcW w:w="4052" w:type="dxa"/>
            <w:shd w:val="clear" w:color="auto" w:fill="auto"/>
          </w:tcPr>
          <w:p w14:paraId="6CB40299" w14:textId="77777777" w:rsidR="00392357" w:rsidRDefault="00392357" w:rsidP="00392357">
            <w:pPr>
              <w:rPr>
                <w:rFonts w:ascii="Calibri" w:hAnsi="Calibri"/>
                <w:color w:val="000000"/>
              </w:rPr>
            </w:pPr>
            <w:r>
              <w:rPr>
                <w:rFonts w:ascii="Calibri" w:hAnsi="Calibri"/>
                <w:color w:val="000000"/>
              </w:rPr>
              <w:t xml:space="preserve">Amount of agricultural product produced by target population, divided by units of production (e.g. ha, animal, etc.). How much each unit produces. </w:t>
            </w:r>
          </w:p>
          <w:p w14:paraId="50D49547" w14:textId="77777777" w:rsidR="00392357" w:rsidRDefault="00392357" w:rsidP="00392357">
            <w:pPr>
              <w:rPr>
                <w:rFonts w:ascii="Calibri" w:hAnsi="Calibri"/>
                <w:color w:val="000000"/>
              </w:rPr>
            </w:pPr>
          </w:p>
          <w:p w14:paraId="375A55F3" w14:textId="066F9BA4" w:rsidR="00392357" w:rsidRPr="00B44BFF" w:rsidRDefault="00392357" w:rsidP="00392357">
            <w:pPr>
              <w:rPr>
                <w:rFonts w:ascii="Calibri" w:hAnsi="Calibri"/>
                <w:color w:val="000000"/>
              </w:rPr>
            </w:pPr>
            <w:r>
              <w:rPr>
                <w:rFonts w:ascii="Calibri" w:hAnsi="Calibri"/>
                <w:color w:val="000000"/>
              </w:rPr>
              <w:t>Y = TP / UP</w:t>
            </w:r>
          </w:p>
        </w:tc>
        <w:tc>
          <w:tcPr>
            <w:tcW w:w="2869" w:type="dxa"/>
            <w:shd w:val="clear" w:color="auto" w:fill="auto"/>
          </w:tcPr>
          <w:p w14:paraId="1FA02C76" w14:textId="4D07A48E" w:rsidR="00392357" w:rsidRPr="00B44BFF" w:rsidRDefault="00392357" w:rsidP="002421FB">
            <w:pPr>
              <w:rPr>
                <w:rFonts w:ascii="Calibri" w:hAnsi="Calibri"/>
                <w:color w:val="000000"/>
              </w:rPr>
            </w:pPr>
            <w:r>
              <w:rPr>
                <w:rFonts w:ascii="Calibri" w:hAnsi="Calibri"/>
                <w:color w:val="000000"/>
              </w:rPr>
              <w:t xml:space="preserve">If units of production are intercropped, the project must determine how to measure yield </w:t>
            </w:r>
            <w:r w:rsidR="002421FB">
              <w:rPr>
                <w:rFonts w:ascii="Calibri" w:hAnsi="Calibri"/>
                <w:color w:val="000000"/>
              </w:rPr>
              <w:t>as well as</w:t>
            </w:r>
            <w:r>
              <w:rPr>
                <w:rFonts w:ascii="Calibri" w:hAnsi="Calibri"/>
                <w:color w:val="000000"/>
              </w:rPr>
              <w:t xml:space="preserve"> gross margin</w:t>
            </w:r>
            <w:bookmarkStart w:id="5" w:name="_GoBack"/>
            <w:bookmarkEnd w:id="5"/>
            <w:r>
              <w:rPr>
                <w:rFonts w:ascii="Calibri" w:hAnsi="Calibri"/>
                <w:color w:val="000000"/>
              </w:rPr>
              <w:t xml:space="preserve">. </w:t>
            </w:r>
          </w:p>
        </w:tc>
        <w:tc>
          <w:tcPr>
            <w:tcW w:w="2647" w:type="dxa"/>
          </w:tcPr>
          <w:p w14:paraId="5ED674E5" w14:textId="77777777" w:rsidR="00392357" w:rsidRPr="00B44BFF" w:rsidRDefault="00392357" w:rsidP="00392357"/>
        </w:tc>
        <w:tc>
          <w:tcPr>
            <w:tcW w:w="2647" w:type="dxa"/>
          </w:tcPr>
          <w:p w14:paraId="644F60B6" w14:textId="77777777" w:rsidR="00392357" w:rsidRPr="00B44BFF" w:rsidRDefault="00392357" w:rsidP="00392357"/>
        </w:tc>
      </w:tr>
    </w:tbl>
    <w:p w14:paraId="196E1EE8" w14:textId="23383F0A" w:rsidR="00E04E58" w:rsidRDefault="00E04E58" w:rsidP="00D9613C">
      <w:pPr>
        <w:pStyle w:val="NoSpacing"/>
      </w:pPr>
    </w:p>
    <w:p w14:paraId="3FD731C2" w14:textId="77777777" w:rsidR="00E04E58" w:rsidRDefault="00E04E58">
      <w:r>
        <w:br w:type="page"/>
      </w:r>
    </w:p>
    <w:p w14:paraId="3F6A3683" w14:textId="6D2C2058" w:rsidR="00E04E58" w:rsidRPr="00E04E58" w:rsidRDefault="00E04E58" w:rsidP="00E04E58">
      <w:pPr>
        <w:pStyle w:val="NoSpacing"/>
        <w:rPr>
          <w:b/>
          <w:szCs w:val="16"/>
        </w:rPr>
      </w:pPr>
      <w:bookmarkStart w:id="6" w:name="Glossary_for_Water"/>
      <w:bookmarkEnd w:id="6"/>
      <w:r w:rsidRPr="00B65DEE">
        <w:rPr>
          <w:b/>
          <w:sz w:val="32"/>
        </w:rPr>
        <w:t xml:space="preserve">Glossary for </w:t>
      </w:r>
      <w:r>
        <w:rPr>
          <w:b/>
          <w:sz w:val="32"/>
        </w:rPr>
        <w:t>Water</w:t>
      </w:r>
    </w:p>
    <w:tbl>
      <w:tblPr>
        <w:tblStyle w:val="TableGrid"/>
        <w:tblW w:w="13680" w:type="dxa"/>
        <w:tblInd w:w="60" w:type="dxa"/>
        <w:tblLayout w:type="fixed"/>
        <w:tblLook w:val="04A0" w:firstRow="1" w:lastRow="0" w:firstColumn="1" w:lastColumn="0" w:noHBand="0" w:noVBand="1"/>
      </w:tblPr>
      <w:tblGrid>
        <w:gridCol w:w="1465"/>
        <w:gridCol w:w="4052"/>
        <w:gridCol w:w="2869"/>
        <w:gridCol w:w="2647"/>
        <w:gridCol w:w="2647"/>
      </w:tblGrid>
      <w:tr w:rsidR="00E04E58" w14:paraId="409A876F" w14:textId="77777777" w:rsidTr="00C51A12">
        <w:tc>
          <w:tcPr>
            <w:tcW w:w="1465" w:type="dxa"/>
            <w:shd w:val="clear" w:color="auto" w:fill="A6CE39"/>
            <w:vAlign w:val="center"/>
          </w:tcPr>
          <w:p w14:paraId="68BA24F7" w14:textId="77777777" w:rsidR="00E04E58" w:rsidRPr="00383B19" w:rsidRDefault="00E04E58" w:rsidP="00C51A12">
            <w:pPr>
              <w:jc w:val="center"/>
              <w:rPr>
                <w:b/>
                <w:sz w:val="24"/>
              </w:rPr>
            </w:pPr>
            <w:r w:rsidRPr="00383B19">
              <w:rPr>
                <w:b/>
                <w:sz w:val="24"/>
              </w:rPr>
              <w:t>Standard Term</w:t>
            </w:r>
          </w:p>
        </w:tc>
        <w:tc>
          <w:tcPr>
            <w:tcW w:w="4052" w:type="dxa"/>
            <w:shd w:val="clear" w:color="auto" w:fill="A6CE39"/>
            <w:vAlign w:val="center"/>
          </w:tcPr>
          <w:p w14:paraId="48290EB7" w14:textId="77777777" w:rsidR="00E04E58" w:rsidRPr="00383B19" w:rsidRDefault="00E04E58" w:rsidP="00C51A12">
            <w:pPr>
              <w:jc w:val="center"/>
              <w:rPr>
                <w:b/>
                <w:sz w:val="24"/>
              </w:rPr>
            </w:pPr>
            <w:r w:rsidRPr="00383B19">
              <w:rPr>
                <w:b/>
                <w:sz w:val="24"/>
              </w:rPr>
              <w:t>Definition</w:t>
            </w:r>
          </w:p>
        </w:tc>
        <w:tc>
          <w:tcPr>
            <w:tcW w:w="2869" w:type="dxa"/>
            <w:shd w:val="clear" w:color="auto" w:fill="A6CE39"/>
            <w:vAlign w:val="center"/>
          </w:tcPr>
          <w:p w14:paraId="6A266D67" w14:textId="77777777" w:rsidR="00E04E58" w:rsidRPr="00383B19" w:rsidRDefault="00E04E58" w:rsidP="00C51A12">
            <w:pPr>
              <w:jc w:val="center"/>
              <w:rPr>
                <w:b/>
                <w:sz w:val="24"/>
              </w:rPr>
            </w:pPr>
            <w:r w:rsidRPr="00383B19">
              <w:rPr>
                <w:b/>
                <w:sz w:val="24"/>
              </w:rPr>
              <w:t>Methodological Consideration</w:t>
            </w:r>
            <w:r>
              <w:rPr>
                <w:b/>
                <w:sz w:val="24"/>
              </w:rPr>
              <w:t>s</w:t>
            </w:r>
          </w:p>
        </w:tc>
        <w:tc>
          <w:tcPr>
            <w:tcW w:w="2647" w:type="dxa"/>
            <w:shd w:val="clear" w:color="auto" w:fill="A6CE39"/>
          </w:tcPr>
          <w:p w14:paraId="5F3FE9F9" w14:textId="77777777" w:rsidR="00E04E58" w:rsidRPr="00383B19" w:rsidRDefault="00E04E58" w:rsidP="00C51A12">
            <w:pPr>
              <w:jc w:val="center"/>
              <w:rPr>
                <w:b/>
                <w:sz w:val="24"/>
              </w:rPr>
            </w:pPr>
            <w:r>
              <w:rPr>
                <w:b/>
                <w:sz w:val="24"/>
              </w:rPr>
              <w:t>Example Indicator</w:t>
            </w:r>
          </w:p>
        </w:tc>
        <w:tc>
          <w:tcPr>
            <w:tcW w:w="2647" w:type="dxa"/>
            <w:shd w:val="clear" w:color="auto" w:fill="A6CE39"/>
            <w:vAlign w:val="center"/>
          </w:tcPr>
          <w:p w14:paraId="31FFE254" w14:textId="77777777" w:rsidR="00E04E58" w:rsidRPr="00383B19" w:rsidRDefault="00E04E58" w:rsidP="00C51A12">
            <w:pPr>
              <w:jc w:val="center"/>
              <w:rPr>
                <w:b/>
                <w:sz w:val="24"/>
              </w:rPr>
            </w:pPr>
            <w:r w:rsidRPr="00383B19">
              <w:rPr>
                <w:b/>
                <w:sz w:val="24"/>
              </w:rPr>
              <w:t>External Guidance</w:t>
            </w:r>
          </w:p>
        </w:tc>
      </w:tr>
      <w:tr w:rsidR="00E04E58" w14:paraId="1CF0721F" w14:textId="77777777" w:rsidTr="00C51A12">
        <w:tc>
          <w:tcPr>
            <w:tcW w:w="1465" w:type="dxa"/>
            <w:shd w:val="clear" w:color="auto" w:fill="auto"/>
          </w:tcPr>
          <w:p w14:paraId="034A7BC7" w14:textId="3F5F08F7" w:rsidR="00E04E58" w:rsidRPr="00B44BFF" w:rsidRDefault="00FC18AA" w:rsidP="00C51A12">
            <w:pPr>
              <w:rPr>
                <w:rFonts w:ascii="Calibri" w:hAnsi="Calibri"/>
                <w:b/>
                <w:bCs/>
                <w:color w:val="000000"/>
              </w:rPr>
            </w:pPr>
            <w:r>
              <w:rPr>
                <w:rFonts w:ascii="Calibri" w:hAnsi="Calibri"/>
                <w:b/>
                <w:bCs/>
                <w:color w:val="000000"/>
              </w:rPr>
              <w:t>Use</w:t>
            </w:r>
          </w:p>
        </w:tc>
        <w:tc>
          <w:tcPr>
            <w:tcW w:w="4052" w:type="dxa"/>
            <w:shd w:val="clear" w:color="auto" w:fill="auto"/>
          </w:tcPr>
          <w:p w14:paraId="5B7B3B96" w14:textId="7F7E56C3" w:rsidR="00E04E58" w:rsidRPr="00B24FD7" w:rsidRDefault="00FC18AA" w:rsidP="00C51A12">
            <w:pPr>
              <w:rPr>
                <w:rFonts w:ascii="Calibri" w:hAnsi="Calibri"/>
                <w:color w:val="000000"/>
              </w:rPr>
            </w:pPr>
            <w:r w:rsidRPr="00B24FD7">
              <w:rPr>
                <w:rFonts w:ascii="Calibri" w:hAnsi="Calibri"/>
                <w:color w:val="000000"/>
              </w:rPr>
              <w:t>Household</w:t>
            </w:r>
            <w:r w:rsidR="00882F88" w:rsidRPr="00B24FD7">
              <w:rPr>
                <w:rFonts w:ascii="Calibri" w:hAnsi="Calibri"/>
                <w:color w:val="000000"/>
              </w:rPr>
              <w:t xml:space="preserve"> consumption</w:t>
            </w:r>
            <w:r w:rsidRPr="00B24FD7">
              <w:rPr>
                <w:rFonts w:ascii="Calibri" w:hAnsi="Calibri"/>
                <w:color w:val="000000"/>
              </w:rPr>
              <w:t>, agricultural</w:t>
            </w:r>
          </w:p>
        </w:tc>
        <w:tc>
          <w:tcPr>
            <w:tcW w:w="2869" w:type="dxa"/>
            <w:shd w:val="clear" w:color="auto" w:fill="auto"/>
          </w:tcPr>
          <w:p w14:paraId="21A9CF79" w14:textId="77777777" w:rsidR="00E04E58" w:rsidRPr="00B24FD7" w:rsidRDefault="00E04E58" w:rsidP="00C51A12">
            <w:pPr>
              <w:rPr>
                <w:rFonts w:ascii="Calibri" w:hAnsi="Calibri"/>
                <w:color w:val="000000"/>
              </w:rPr>
            </w:pPr>
          </w:p>
        </w:tc>
        <w:tc>
          <w:tcPr>
            <w:tcW w:w="2647" w:type="dxa"/>
          </w:tcPr>
          <w:p w14:paraId="0A89279B" w14:textId="77777777" w:rsidR="00E04E58" w:rsidRPr="00B24FD7" w:rsidRDefault="00E04E58" w:rsidP="00C51A12">
            <w:pPr>
              <w:pStyle w:val="NoSpacing"/>
            </w:pPr>
          </w:p>
        </w:tc>
        <w:tc>
          <w:tcPr>
            <w:tcW w:w="2647" w:type="dxa"/>
          </w:tcPr>
          <w:p w14:paraId="6EE3318A" w14:textId="10FE05E9" w:rsidR="00E04E58" w:rsidRPr="00B24FD7" w:rsidRDefault="00E04E58" w:rsidP="00C51A12">
            <w:pPr>
              <w:pStyle w:val="NoSpacing"/>
            </w:pPr>
          </w:p>
        </w:tc>
      </w:tr>
      <w:tr w:rsidR="00882F88" w14:paraId="78CF3E0B" w14:textId="77777777" w:rsidTr="00C51A12">
        <w:tc>
          <w:tcPr>
            <w:tcW w:w="1465" w:type="dxa"/>
            <w:shd w:val="clear" w:color="auto" w:fill="auto"/>
          </w:tcPr>
          <w:p w14:paraId="318AC468" w14:textId="418C277A" w:rsidR="00882F88" w:rsidRDefault="00882F88" w:rsidP="00C51A12">
            <w:pPr>
              <w:rPr>
                <w:rFonts w:ascii="Calibri" w:hAnsi="Calibri"/>
                <w:b/>
                <w:bCs/>
                <w:color w:val="000000"/>
              </w:rPr>
            </w:pPr>
            <w:r>
              <w:rPr>
                <w:rFonts w:ascii="Calibri" w:hAnsi="Calibri"/>
                <w:b/>
                <w:bCs/>
                <w:color w:val="000000"/>
              </w:rPr>
              <w:t>Conservation</w:t>
            </w:r>
          </w:p>
        </w:tc>
        <w:tc>
          <w:tcPr>
            <w:tcW w:w="4052" w:type="dxa"/>
            <w:shd w:val="clear" w:color="auto" w:fill="auto"/>
          </w:tcPr>
          <w:p w14:paraId="339DA27F" w14:textId="77777777" w:rsidR="00882F88" w:rsidRPr="00B24FD7" w:rsidRDefault="00882F88" w:rsidP="00C51A12">
            <w:pPr>
              <w:rPr>
                <w:rFonts w:ascii="Calibri" w:hAnsi="Calibri"/>
                <w:color w:val="000000"/>
              </w:rPr>
            </w:pPr>
          </w:p>
        </w:tc>
        <w:tc>
          <w:tcPr>
            <w:tcW w:w="2869" w:type="dxa"/>
            <w:shd w:val="clear" w:color="auto" w:fill="auto"/>
          </w:tcPr>
          <w:p w14:paraId="416FBE60" w14:textId="77777777" w:rsidR="00882F88" w:rsidRPr="00B24FD7" w:rsidRDefault="00882F88" w:rsidP="00C51A12">
            <w:pPr>
              <w:rPr>
                <w:rFonts w:ascii="Calibri" w:hAnsi="Calibri"/>
                <w:color w:val="000000"/>
              </w:rPr>
            </w:pPr>
          </w:p>
        </w:tc>
        <w:tc>
          <w:tcPr>
            <w:tcW w:w="2647" w:type="dxa"/>
          </w:tcPr>
          <w:p w14:paraId="76E7335A" w14:textId="77777777" w:rsidR="00882F88" w:rsidRPr="00B24FD7" w:rsidRDefault="00882F88" w:rsidP="00C51A12">
            <w:pPr>
              <w:pStyle w:val="NoSpacing"/>
            </w:pPr>
          </w:p>
        </w:tc>
        <w:tc>
          <w:tcPr>
            <w:tcW w:w="2647" w:type="dxa"/>
          </w:tcPr>
          <w:p w14:paraId="1EA9F2AB" w14:textId="77777777" w:rsidR="00882F88" w:rsidRPr="00B24FD7" w:rsidRDefault="00882F88" w:rsidP="00C51A12">
            <w:pPr>
              <w:pStyle w:val="NoSpacing"/>
            </w:pPr>
          </w:p>
        </w:tc>
      </w:tr>
      <w:tr w:rsidR="00E04E58" w14:paraId="5C3AA0B8" w14:textId="77777777" w:rsidTr="00C51A12">
        <w:tc>
          <w:tcPr>
            <w:tcW w:w="1465" w:type="dxa"/>
            <w:shd w:val="clear" w:color="auto" w:fill="auto"/>
          </w:tcPr>
          <w:p w14:paraId="4F56D3D2" w14:textId="3BE7AF64" w:rsidR="00E04E58" w:rsidRPr="00D75B32" w:rsidRDefault="00FC18AA" w:rsidP="00C51A12">
            <w:pPr>
              <w:rPr>
                <w:rFonts w:ascii="Calibri" w:hAnsi="Calibri"/>
                <w:b/>
                <w:bCs/>
                <w:color w:val="000000"/>
              </w:rPr>
            </w:pPr>
            <w:r>
              <w:rPr>
                <w:rFonts w:ascii="Calibri" w:hAnsi="Calibri"/>
                <w:b/>
                <w:bCs/>
                <w:color w:val="000000"/>
              </w:rPr>
              <w:t>Consumption</w:t>
            </w:r>
          </w:p>
        </w:tc>
        <w:tc>
          <w:tcPr>
            <w:tcW w:w="4052" w:type="dxa"/>
            <w:shd w:val="clear" w:color="auto" w:fill="auto"/>
          </w:tcPr>
          <w:p w14:paraId="510900D8" w14:textId="419874C8" w:rsidR="00E04E58" w:rsidRPr="00B24FD7" w:rsidRDefault="00E04E58" w:rsidP="00C51A12">
            <w:pPr>
              <w:rPr>
                <w:rFonts w:ascii="Calibri" w:hAnsi="Calibri"/>
                <w:color w:val="000000"/>
              </w:rPr>
            </w:pPr>
          </w:p>
        </w:tc>
        <w:tc>
          <w:tcPr>
            <w:tcW w:w="2869" w:type="dxa"/>
            <w:shd w:val="clear" w:color="auto" w:fill="auto"/>
          </w:tcPr>
          <w:p w14:paraId="61724B56" w14:textId="37EAB116" w:rsidR="00E04E58" w:rsidRPr="00B24FD7" w:rsidRDefault="00E04E58" w:rsidP="00C51A12">
            <w:pPr>
              <w:rPr>
                <w:rFonts w:ascii="Calibri" w:hAnsi="Calibri"/>
                <w:color w:val="000000"/>
              </w:rPr>
            </w:pPr>
          </w:p>
        </w:tc>
        <w:tc>
          <w:tcPr>
            <w:tcW w:w="2647" w:type="dxa"/>
          </w:tcPr>
          <w:p w14:paraId="78C11F85" w14:textId="499D7051" w:rsidR="00E04E58" w:rsidRPr="00B24FD7" w:rsidRDefault="00E04E58" w:rsidP="00C51A12"/>
        </w:tc>
        <w:tc>
          <w:tcPr>
            <w:tcW w:w="2647" w:type="dxa"/>
          </w:tcPr>
          <w:p w14:paraId="23E32622" w14:textId="77777777" w:rsidR="00E04E58" w:rsidRPr="00B24FD7" w:rsidRDefault="00E04E58" w:rsidP="00C51A12"/>
        </w:tc>
      </w:tr>
      <w:tr w:rsidR="00E04E58" w14:paraId="61215C28" w14:textId="77777777" w:rsidTr="00C51A12">
        <w:tc>
          <w:tcPr>
            <w:tcW w:w="1465" w:type="dxa"/>
            <w:shd w:val="clear" w:color="auto" w:fill="auto"/>
          </w:tcPr>
          <w:p w14:paraId="50349FCA" w14:textId="02DAA5A9" w:rsidR="00FC18AA" w:rsidRPr="00B44BFF" w:rsidRDefault="00FC18AA" w:rsidP="00C51A12">
            <w:pPr>
              <w:rPr>
                <w:rFonts w:ascii="Calibri" w:hAnsi="Calibri"/>
                <w:b/>
                <w:bCs/>
                <w:color w:val="000000"/>
              </w:rPr>
            </w:pPr>
            <w:r>
              <w:rPr>
                <w:rFonts w:ascii="Calibri" w:hAnsi="Calibri"/>
                <w:b/>
                <w:bCs/>
                <w:color w:val="000000"/>
              </w:rPr>
              <w:t>Watershed</w:t>
            </w:r>
          </w:p>
        </w:tc>
        <w:tc>
          <w:tcPr>
            <w:tcW w:w="4052" w:type="dxa"/>
            <w:shd w:val="clear" w:color="auto" w:fill="auto"/>
          </w:tcPr>
          <w:p w14:paraId="0DE2E645" w14:textId="6D73A155" w:rsidR="00E04E58" w:rsidRPr="00B24FD7" w:rsidRDefault="00E04E58" w:rsidP="00C51A12">
            <w:pPr>
              <w:rPr>
                <w:rFonts w:ascii="Calibri" w:hAnsi="Calibri"/>
                <w:color w:val="000000"/>
              </w:rPr>
            </w:pPr>
          </w:p>
        </w:tc>
        <w:tc>
          <w:tcPr>
            <w:tcW w:w="2869" w:type="dxa"/>
            <w:shd w:val="clear" w:color="auto" w:fill="auto"/>
          </w:tcPr>
          <w:p w14:paraId="54A8AF65" w14:textId="2F2D0709" w:rsidR="00E04E58" w:rsidRPr="00B24FD7" w:rsidRDefault="00E04E58" w:rsidP="00C51A12">
            <w:pPr>
              <w:rPr>
                <w:rFonts w:ascii="Calibri" w:hAnsi="Calibri"/>
                <w:color w:val="000000"/>
              </w:rPr>
            </w:pPr>
          </w:p>
        </w:tc>
        <w:tc>
          <w:tcPr>
            <w:tcW w:w="2647" w:type="dxa"/>
          </w:tcPr>
          <w:p w14:paraId="665D96B9" w14:textId="77777777" w:rsidR="00E04E58" w:rsidRPr="00B24FD7" w:rsidRDefault="00E04E58" w:rsidP="00C51A12"/>
        </w:tc>
        <w:tc>
          <w:tcPr>
            <w:tcW w:w="2647" w:type="dxa"/>
          </w:tcPr>
          <w:p w14:paraId="2F6C19AA" w14:textId="6C5FB844" w:rsidR="00E04E58" w:rsidRPr="00B24FD7" w:rsidRDefault="00E04E58" w:rsidP="00C51A12"/>
        </w:tc>
      </w:tr>
      <w:tr w:rsidR="00E04E58" w14:paraId="3355A877" w14:textId="77777777" w:rsidTr="00C51A12">
        <w:tc>
          <w:tcPr>
            <w:tcW w:w="1465" w:type="dxa"/>
            <w:shd w:val="clear" w:color="auto" w:fill="auto"/>
          </w:tcPr>
          <w:p w14:paraId="57D95CB9" w14:textId="1466BB1C" w:rsidR="00E04E58" w:rsidRPr="00B44BFF" w:rsidRDefault="00FC18AA" w:rsidP="00C51A12">
            <w:pPr>
              <w:rPr>
                <w:rFonts w:ascii="Calibri" w:hAnsi="Calibri"/>
                <w:b/>
                <w:bCs/>
                <w:color w:val="000000"/>
              </w:rPr>
            </w:pPr>
            <w:r>
              <w:rPr>
                <w:rFonts w:ascii="Calibri" w:hAnsi="Calibri"/>
                <w:b/>
                <w:bCs/>
                <w:color w:val="000000"/>
              </w:rPr>
              <w:t>Water management</w:t>
            </w:r>
          </w:p>
        </w:tc>
        <w:tc>
          <w:tcPr>
            <w:tcW w:w="4052" w:type="dxa"/>
            <w:shd w:val="clear" w:color="auto" w:fill="auto"/>
          </w:tcPr>
          <w:p w14:paraId="48C6F827" w14:textId="6A198DA4" w:rsidR="00E04E58" w:rsidRPr="00B24FD7" w:rsidRDefault="00E04E58" w:rsidP="00C51A12">
            <w:pPr>
              <w:rPr>
                <w:rFonts w:ascii="Calibri" w:hAnsi="Calibri"/>
                <w:color w:val="000000"/>
              </w:rPr>
            </w:pPr>
          </w:p>
        </w:tc>
        <w:tc>
          <w:tcPr>
            <w:tcW w:w="2869" w:type="dxa"/>
            <w:shd w:val="clear" w:color="auto" w:fill="auto"/>
          </w:tcPr>
          <w:p w14:paraId="142ACCEF" w14:textId="74974406" w:rsidR="00E04E58" w:rsidRPr="00B24FD7" w:rsidRDefault="00E04E58" w:rsidP="00C51A12">
            <w:pPr>
              <w:rPr>
                <w:rFonts w:ascii="Calibri" w:hAnsi="Calibri"/>
                <w:color w:val="000000"/>
              </w:rPr>
            </w:pPr>
          </w:p>
        </w:tc>
        <w:tc>
          <w:tcPr>
            <w:tcW w:w="2647" w:type="dxa"/>
          </w:tcPr>
          <w:p w14:paraId="49049B5B" w14:textId="77777777" w:rsidR="00E04E58" w:rsidRPr="00B24FD7" w:rsidRDefault="00E04E58" w:rsidP="00C51A12"/>
        </w:tc>
        <w:tc>
          <w:tcPr>
            <w:tcW w:w="2647" w:type="dxa"/>
          </w:tcPr>
          <w:p w14:paraId="4C42A235" w14:textId="3254A6FF" w:rsidR="00E04E58" w:rsidRPr="00B24FD7" w:rsidRDefault="00E04E58" w:rsidP="00C51A12"/>
        </w:tc>
      </w:tr>
      <w:tr w:rsidR="00E04E58" w14:paraId="20EC34A8" w14:textId="77777777" w:rsidTr="00C51A12">
        <w:tc>
          <w:tcPr>
            <w:tcW w:w="1465" w:type="dxa"/>
            <w:shd w:val="clear" w:color="auto" w:fill="auto"/>
          </w:tcPr>
          <w:p w14:paraId="782CB591" w14:textId="1CA9C8E9" w:rsidR="00E04E58" w:rsidRPr="00B44BFF" w:rsidRDefault="00A95EE9" w:rsidP="00C51A12">
            <w:pPr>
              <w:rPr>
                <w:rFonts w:ascii="Calibri" w:hAnsi="Calibri"/>
                <w:b/>
                <w:bCs/>
                <w:color w:val="000000"/>
              </w:rPr>
            </w:pPr>
            <w:r>
              <w:rPr>
                <w:rFonts w:ascii="Calibri" w:hAnsi="Calibri"/>
                <w:b/>
                <w:bCs/>
                <w:color w:val="000000"/>
              </w:rPr>
              <w:t>Irrigation</w:t>
            </w:r>
          </w:p>
        </w:tc>
        <w:tc>
          <w:tcPr>
            <w:tcW w:w="4052" w:type="dxa"/>
            <w:shd w:val="clear" w:color="auto" w:fill="auto"/>
          </w:tcPr>
          <w:p w14:paraId="07064E59" w14:textId="77777777" w:rsidR="00E04E58" w:rsidRPr="00B24FD7" w:rsidRDefault="00E04E58" w:rsidP="00C51A12">
            <w:pPr>
              <w:rPr>
                <w:rFonts w:ascii="Calibri" w:hAnsi="Calibri"/>
                <w:color w:val="000000"/>
                <w:bdr w:val="none" w:sz="0" w:space="0" w:color="auto" w:frame="1"/>
              </w:rPr>
            </w:pPr>
          </w:p>
        </w:tc>
        <w:tc>
          <w:tcPr>
            <w:tcW w:w="2869" w:type="dxa"/>
            <w:shd w:val="clear" w:color="auto" w:fill="auto"/>
          </w:tcPr>
          <w:p w14:paraId="17F85AA4" w14:textId="7DA8F6EE" w:rsidR="00E04E58" w:rsidRPr="00B24FD7" w:rsidRDefault="00E04E58" w:rsidP="00C51A12">
            <w:pPr>
              <w:rPr>
                <w:rFonts w:ascii="Calibri" w:hAnsi="Calibri"/>
                <w:color w:val="000000"/>
              </w:rPr>
            </w:pPr>
          </w:p>
        </w:tc>
        <w:tc>
          <w:tcPr>
            <w:tcW w:w="2647" w:type="dxa"/>
          </w:tcPr>
          <w:p w14:paraId="2DBA02CC" w14:textId="6947AC46" w:rsidR="00E04E58" w:rsidRPr="00B24FD7" w:rsidRDefault="00E04E58" w:rsidP="00C51A12"/>
        </w:tc>
        <w:tc>
          <w:tcPr>
            <w:tcW w:w="2647" w:type="dxa"/>
          </w:tcPr>
          <w:p w14:paraId="540A0EF2" w14:textId="77777777" w:rsidR="00E04E58" w:rsidRPr="00B24FD7" w:rsidRDefault="00E04E58" w:rsidP="00C51A12"/>
        </w:tc>
      </w:tr>
      <w:tr w:rsidR="00E04E58" w14:paraId="3F851651" w14:textId="77777777" w:rsidTr="00C51A12">
        <w:tc>
          <w:tcPr>
            <w:tcW w:w="1465" w:type="dxa"/>
            <w:shd w:val="clear" w:color="auto" w:fill="auto"/>
          </w:tcPr>
          <w:p w14:paraId="20ACC33C" w14:textId="5AC9958B" w:rsidR="00E04E58" w:rsidRPr="00B44BFF" w:rsidRDefault="00A95EE9" w:rsidP="00C51A12">
            <w:pPr>
              <w:rPr>
                <w:rFonts w:ascii="Calibri" w:hAnsi="Calibri"/>
                <w:b/>
                <w:color w:val="000000"/>
              </w:rPr>
            </w:pPr>
            <w:r>
              <w:rPr>
                <w:rFonts w:ascii="Calibri" w:hAnsi="Calibri"/>
                <w:b/>
                <w:color w:val="000000"/>
              </w:rPr>
              <w:t>Improved water source</w:t>
            </w:r>
          </w:p>
        </w:tc>
        <w:tc>
          <w:tcPr>
            <w:tcW w:w="4052" w:type="dxa"/>
            <w:shd w:val="clear" w:color="auto" w:fill="auto"/>
          </w:tcPr>
          <w:p w14:paraId="1ECAA319" w14:textId="70713FC1" w:rsidR="00E04E58" w:rsidRPr="00B24FD7" w:rsidRDefault="00E04E58" w:rsidP="00C51A12">
            <w:pPr>
              <w:rPr>
                <w:rFonts w:ascii="Calibri" w:hAnsi="Calibri"/>
                <w:color w:val="000000"/>
              </w:rPr>
            </w:pPr>
          </w:p>
        </w:tc>
        <w:tc>
          <w:tcPr>
            <w:tcW w:w="2869" w:type="dxa"/>
            <w:shd w:val="clear" w:color="auto" w:fill="auto"/>
          </w:tcPr>
          <w:p w14:paraId="5EDFC8CD" w14:textId="56E6D474" w:rsidR="00E04E58" w:rsidRPr="00B24FD7" w:rsidRDefault="00E04E58" w:rsidP="00C51A12">
            <w:pPr>
              <w:rPr>
                <w:rFonts w:ascii="Calibri" w:hAnsi="Calibri"/>
                <w:color w:val="000000"/>
              </w:rPr>
            </w:pPr>
          </w:p>
        </w:tc>
        <w:tc>
          <w:tcPr>
            <w:tcW w:w="2647" w:type="dxa"/>
          </w:tcPr>
          <w:p w14:paraId="4A274EB1" w14:textId="2F512435" w:rsidR="00E04E58" w:rsidRPr="00B24FD7" w:rsidRDefault="00E04E58" w:rsidP="00C51A12"/>
        </w:tc>
        <w:tc>
          <w:tcPr>
            <w:tcW w:w="2647" w:type="dxa"/>
          </w:tcPr>
          <w:p w14:paraId="412EE7F2" w14:textId="27C44328" w:rsidR="00E04E58" w:rsidRPr="00B24FD7" w:rsidRDefault="00E04E58" w:rsidP="00C51A12"/>
        </w:tc>
      </w:tr>
      <w:tr w:rsidR="00E04E58" w14:paraId="06646610" w14:textId="77777777" w:rsidTr="00C51A12">
        <w:tc>
          <w:tcPr>
            <w:tcW w:w="1465" w:type="dxa"/>
            <w:shd w:val="clear" w:color="auto" w:fill="auto"/>
          </w:tcPr>
          <w:p w14:paraId="6FB5EE60" w14:textId="49773C72" w:rsidR="00E04E58" w:rsidRDefault="00A95EE9" w:rsidP="00C51A12">
            <w:pPr>
              <w:rPr>
                <w:rFonts w:ascii="Calibri" w:hAnsi="Calibri"/>
                <w:b/>
                <w:bCs/>
                <w:color w:val="000000"/>
              </w:rPr>
            </w:pPr>
            <w:r>
              <w:rPr>
                <w:rFonts w:ascii="Calibri" w:hAnsi="Calibri"/>
                <w:b/>
                <w:bCs/>
                <w:color w:val="000000"/>
              </w:rPr>
              <w:t>Rainfed vs. irrigated agriculture</w:t>
            </w:r>
          </w:p>
        </w:tc>
        <w:tc>
          <w:tcPr>
            <w:tcW w:w="4052" w:type="dxa"/>
            <w:shd w:val="clear" w:color="auto" w:fill="auto"/>
          </w:tcPr>
          <w:p w14:paraId="3186C79F" w14:textId="5CCB6B66" w:rsidR="00E04E58" w:rsidRPr="00B24FD7" w:rsidRDefault="00E04E58" w:rsidP="00C51A12">
            <w:pPr>
              <w:rPr>
                <w:rFonts w:ascii="Calibri" w:hAnsi="Calibri"/>
                <w:color w:val="000000"/>
              </w:rPr>
            </w:pPr>
          </w:p>
        </w:tc>
        <w:tc>
          <w:tcPr>
            <w:tcW w:w="2869" w:type="dxa"/>
            <w:shd w:val="clear" w:color="auto" w:fill="auto"/>
          </w:tcPr>
          <w:p w14:paraId="1AA4E439" w14:textId="785E82C3" w:rsidR="00E04E58" w:rsidRPr="00B24FD7" w:rsidRDefault="00E04E58" w:rsidP="00C51A12">
            <w:pPr>
              <w:rPr>
                <w:rFonts w:ascii="Calibri" w:hAnsi="Calibri"/>
                <w:color w:val="000000"/>
              </w:rPr>
            </w:pPr>
          </w:p>
        </w:tc>
        <w:tc>
          <w:tcPr>
            <w:tcW w:w="2647" w:type="dxa"/>
          </w:tcPr>
          <w:p w14:paraId="42D420CB" w14:textId="77777777" w:rsidR="00E04E58" w:rsidRPr="00B24FD7" w:rsidRDefault="00E04E58" w:rsidP="00C51A12"/>
        </w:tc>
        <w:tc>
          <w:tcPr>
            <w:tcW w:w="2647" w:type="dxa"/>
          </w:tcPr>
          <w:p w14:paraId="5B772F74" w14:textId="136DDA5B" w:rsidR="00E04E58" w:rsidRPr="00B24FD7" w:rsidRDefault="00E04E58" w:rsidP="00C51A12"/>
        </w:tc>
      </w:tr>
      <w:tr w:rsidR="00E04E58" w14:paraId="34BE50A5" w14:textId="77777777" w:rsidTr="00C51A12">
        <w:tc>
          <w:tcPr>
            <w:tcW w:w="1465" w:type="dxa"/>
            <w:shd w:val="clear" w:color="auto" w:fill="auto"/>
          </w:tcPr>
          <w:p w14:paraId="76DBE68E" w14:textId="4A0DB4F3" w:rsidR="00E04E58" w:rsidRPr="00B44BFF" w:rsidRDefault="00E04E58" w:rsidP="00A95EE9">
            <w:pPr>
              <w:rPr>
                <w:rFonts w:ascii="Calibri" w:hAnsi="Calibri"/>
                <w:b/>
                <w:bCs/>
                <w:color w:val="000000"/>
              </w:rPr>
            </w:pPr>
          </w:p>
        </w:tc>
        <w:tc>
          <w:tcPr>
            <w:tcW w:w="4052" w:type="dxa"/>
            <w:shd w:val="clear" w:color="auto" w:fill="auto"/>
          </w:tcPr>
          <w:p w14:paraId="2021C0C6" w14:textId="0BF68808" w:rsidR="00E04E58" w:rsidRPr="00B24FD7" w:rsidRDefault="00E04E58" w:rsidP="00C51A12">
            <w:pPr>
              <w:rPr>
                <w:rFonts w:ascii="Calibri" w:hAnsi="Calibri"/>
                <w:color w:val="000000"/>
              </w:rPr>
            </w:pPr>
          </w:p>
        </w:tc>
        <w:tc>
          <w:tcPr>
            <w:tcW w:w="2869" w:type="dxa"/>
            <w:shd w:val="clear" w:color="auto" w:fill="auto"/>
          </w:tcPr>
          <w:p w14:paraId="49ED2BFE" w14:textId="01AAAE8A" w:rsidR="00E04E58" w:rsidRPr="00B24FD7" w:rsidRDefault="00E04E58" w:rsidP="00C51A12">
            <w:pPr>
              <w:rPr>
                <w:rFonts w:ascii="Calibri" w:hAnsi="Calibri"/>
                <w:color w:val="000000"/>
              </w:rPr>
            </w:pPr>
          </w:p>
        </w:tc>
        <w:tc>
          <w:tcPr>
            <w:tcW w:w="2647" w:type="dxa"/>
          </w:tcPr>
          <w:p w14:paraId="2ABD94BA" w14:textId="77777777" w:rsidR="00E04E58" w:rsidRPr="00B24FD7" w:rsidRDefault="00E04E58" w:rsidP="00C51A12"/>
        </w:tc>
        <w:tc>
          <w:tcPr>
            <w:tcW w:w="2647" w:type="dxa"/>
          </w:tcPr>
          <w:p w14:paraId="1D1B2099" w14:textId="77777777" w:rsidR="00E04E58" w:rsidRPr="00B24FD7" w:rsidRDefault="00E04E58" w:rsidP="00C51A12"/>
        </w:tc>
      </w:tr>
      <w:tr w:rsidR="00E04E58" w14:paraId="19B9093E" w14:textId="77777777" w:rsidTr="00C51A12">
        <w:tc>
          <w:tcPr>
            <w:tcW w:w="1465" w:type="dxa"/>
            <w:shd w:val="clear" w:color="auto" w:fill="auto"/>
          </w:tcPr>
          <w:p w14:paraId="0428933A" w14:textId="4964178F" w:rsidR="00E04E58" w:rsidRPr="00B44BFF" w:rsidRDefault="00A95EE9" w:rsidP="00C51A12">
            <w:pPr>
              <w:rPr>
                <w:rFonts w:ascii="Calibri" w:hAnsi="Calibri"/>
                <w:b/>
                <w:bCs/>
                <w:color w:val="000000"/>
              </w:rPr>
            </w:pPr>
            <w:r>
              <w:rPr>
                <w:rFonts w:ascii="Calibri" w:hAnsi="Calibri"/>
                <w:b/>
                <w:bCs/>
                <w:color w:val="000000"/>
              </w:rPr>
              <w:t>Rainfall</w:t>
            </w:r>
          </w:p>
        </w:tc>
        <w:tc>
          <w:tcPr>
            <w:tcW w:w="4052" w:type="dxa"/>
            <w:shd w:val="clear" w:color="auto" w:fill="auto"/>
          </w:tcPr>
          <w:p w14:paraId="2FE371B2" w14:textId="2DAAAC25" w:rsidR="00E04E58" w:rsidRPr="00B24FD7" w:rsidRDefault="00E04E58" w:rsidP="00C51A12">
            <w:pPr>
              <w:rPr>
                <w:rFonts w:ascii="Calibri" w:hAnsi="Calibri"/>
                <w:color w:val="000000"/>
              </w:rPr>
            </w:pPr>
          </w:p>
        </w:tc>
        <w:tc>
          <w:tcPr>
            <w:tcW w:w="2869" w:type="dxa"/>
            <w:shd w:val="clear" w:color="auto" w:fill="auto"/>
          </w:tcPr>
          <w:p w14:paraId="438D906F" w14:textId="078FAB48" w:rsidR="00E04E58" w:rsidRPr="00B24FD7" w:rsidRDefault="00E04E58" w:rsidP="00C51A12">
            <w:pPr>
              <w:rPr>
                <w:rFonts w:ascii="Calibri" w:hAnsi="Calibri"/>
                <w:color w:val="000000"/>
              </w:rPr>
            </w:pPr>
          </w:p>
        </w:tc>
        <w:tc>
          <w:tcPr>
            <w:tcW w:w="2647" w:type="dxa"/>
          </w:tcPr>
          <w:p w14:paraId="28EAC9D8" w14:textId="77777777" w:rsidR="00E04E58" w:rsidRPr="00B24FD7" w:rsidRDefault="00E04E58" w:rsidP="00C51A12"/>
        </w:tc>
        <w:tc>
          <w:tcPr>
            <w:tcW w:w="2647" w:type="dxa"/>
          </w:tcPr>
          <w:p w14:paraId="524E1CF0" w14:textId="5C000369" w:rsidR="00E04E58" w:rsidRPr="00B24FD7" w:rsidRDefault="00E04E58" w:rsidP="00C51A12"/>
        </w:tc>
      </w:tr>
      <w:tr w:rsidR="00E04E58" w14:paraId="04751EE0" w14:textId="77777777" w:rsidTr="00C51A12">
        <w:tc>
          <w:tcPr>
            <w:tcW w:w="1465" w:type="dxa"/>
            <w:shd w:val="clear" w:color="auto" w:fill="auto"/>
          </w:tcPr>
          <w:p w14:paraId="6AA45222" w14:textId="64E85216" w:rsidR="00E04E58" w:rsidRPr="00B44BFF" w:rsidRDefault="00A95EE9" w:rsidP="00C51A12">
            <w:pPr>
              <w:rPr>
                <w:rFonts w:ascii="Calibri" w:hAnsi="Calibri"/>
                <w:b/>
                <w:bCs/>
                <w:color w:val="000000"/>
              </w:rPr>
            </w:pPr>
            <w:r>
              <w:rPr>
                <w:rFonts w:ascii="Calibri" w:hAnsi="Calibri"/>
                <w:b/>
                <w:bCs/>
                <w:color w:val="000000"/>
              </w:rPr>
              <w:t>Runoff</w:t>
            </w:r>
          </w:p>
        </w:tc>
        <w:tc>
          <w:tcPr>
            <w:tcW w:w="4052" w:type="dxa"/>
            <w:shd w:val="clear" w:color="auto" w:fill="auto"/>
          </w:tcPr>
          <w:p w14:paraId="12F1D390" w14:textId="611BB4BC" w:rsidR="00E04E58" w:rsidRPr="00B24FD7" w:rsidRDefault="00E04E58" w:rsidP="00C51A12">
            <w:pPr>
              <w:rPr>
                <w:rFonts w:ascii="Calibri" w:hAnsi="Calibri"/>
                <w:color w:val="000000"/>
              </w:rPr>
            </w:pPr>
          </w:p>
        </w:tc>
        <w:tc>
          <w:tcPr>
            <w:tcW w:w="2869" w:type="dxa"/>
            <w:shd w:val="clear" w:color="auto" w:fill="auto"/>
          </w:tcPr>
          <w:p w14:paraId="624DF23C" w14:textId="583AC16F" w:rsidR="00E04E58" w:rsidRPr="00B24FD7" w:rsidRDefault="00E04E58" w:rsidP="00C51A12">
            <w:pPr>
              <w:rPr>
                <w:rFonts w:ascii="Calibri" w:hAnsi="Calibri"/>
                <w:color w:val="000000"/>
              </w:rPr>
            </w:pPr>
          </w:p>
        </w:tc>
        <w:tc>
          <w:tcPr>
            <w:tcW w:w="2647" w:type="dxa"/>
          </w:tcPr>
          <w:p w14:paraId="6352C71B" w14:textId="77777777" w:rsidR="00E04E58" w:rsidRPr="00B24FD7" w:rsidRDefault="00E04E58" w:rsidP="00C51A12"/>
        </w:tc>
        <w:tc>
          <w:tcPr>
            <w:tcW w:w="2647" w:type="dxa"/>
          </w:tcPr>
          <w:p w14:paraId="79AD3271" w14:textId="77777777" w:rsidR="00E04E58" w:rsidRPr="00B24FD7" w:rsidRDefault="00E04E58" w:rsidP="00C51A12"/>
        </w:tc>
      </w:tr>
      <w:tr w:rsidR="00E04E58" w14:paraId="68EE2AFC" w14:textId="77777777" w:rsidTr="00C51A12">
        <w:tc>
          <w:tcPr>
            <w:tcW w:w="1465" w:type="dxa"/>
            <w:shd w:val="clear" w:color="auto" w:fill="auto"/>
          </w:tcPr>
          <w:p w14:paraId="1C2E3ABD" w14:textId="2325E453" w:rsidR="00E04E58" w:rsidRPr="00B44BFF" w:rsidRDefault="00A95EE9" w:rsidP="00C51A12">
            <w:pPr>
              <w:rPr>
                <w:rFonts w:ascii="Calibri" w:hAnsi="Calibri"/>
                <w:b/>
                <w:bCs/>
                <w:color w:val="000000"/>
              </w:rPr>
            </w:pPr>
            <w:r>
              <w:rPr>
                <w:rFonts w:ascii="Calibri" w:hAnsi="Calibri"/>
                <w:b/>
                <w:bCs/>
                <w:color w:val="000000"/>
              </w:rPr>
              <w:t xml:space="preserve">Groundwater </w:t>
            </w:r>
          </w:p>
        </w:tc>
        <w:tc>
          <w:tcPr>
            <w:tcW w:w="4052" w:type="dxa"/>
            <w:shd w:val="clear" w:color="auto" w:fill="auto"/>
          </w:tcPr>
          <w:p w14:paraId="396ECCD8" w14:textId="3EB1541D" w:rsidR="00E04E58" w:rsidRPr="00B24FD7" w:rsidRDefault="00E04E58" w:rsidP="00C51A12">
            <w:pPr>
              <w:rPr>
                <w:rFonts w:ascii="Calibri" w:hAnsi="Calibri"/>
                <w:color w:val="000000"/>
              </w:rPr>
            </w:pPr>
          </w:p>
        </w:tc>
        <w:tc>
          <w:tcPr>
            <w:tcW w:w="2869" w:type="dxa"/>
            <w:shd w:val="clear" w:color="auto" w:fill="auto"/>
          </w:tcPr>
          <w:p w14:paraId="6AB55AE6" w14:textId="1222089E" w:rsidR="00E04E58" w:rsidRPr="00B24FD7" w:rsidRDefault="00E04E58" w:rsidP="00C51A12">
            <w:pPr>
              <w:rPr>
                <w:rFonts w:ascii="Calibri" w:hAnsi="Calibri"/>
                <w:color w:val="000000"/>
              </w:rPr>
            </w:pPr>
          </w:p>
        </w:tc>
        <w:tc>
          <w:tcPr>
            <w:tcW w:w="2647" w:type="dxa"/>
          </w:tcPr>
          <w:p w14:paraId="4A6D20FD" w14:textId="77777777" w:rsidR="00E04E58" w:rsidRPr="00B24FD7" w:rsidRDefault="00E04E58" w:rsidP="00C51A12"/>
        </w:tc>
        <w:tc>
          <w:tcPr>
            <w:tcW w:w="2647" w:type="dxa"/>
          </w:tcPr>
          <w:p w14:paraId="57977847" w14:textId="77777777" w:rsidR="00E04E58" w:rsidRPr="00B24FD7" w:rsidRDefault="00E04E58" w:rsidP="00C51A12"/>
        </w:tc>
      </w:tr>
      <w:tr w:rsidR="00A95EE9" w14:paraId="37CBFC23" w14:textId="77777777" w:rsidTr="00C51A12">
        <w:tc>
          <w:tcPr>
            <w:tcW w:w="1465" w:type="dxa"/>
            <w:shd w:val="clear" w:color="auto" w:fill="auto"/>
          </w:tcPr>
          <w:p w14:paraId="4B29840C" w14:textId="40235921" w:rsidR="00A95EE9" w:rsidRDefault="00A95EE9" w:rsidP="00C51A12">
            <w:pPr>
              <w:rPr>
                <w:rFonts w:ascii="Calibri" w:hAnsi="Calibri"/>
                <w:b/>
                <w:bCs/>
                <w:color w:val="000000"/>
              </w:rPr>
            </w:pPr>
            <w:r>
              <w:rPr>
                <w:rFonts w:ascii="Calibri" w:hAnsi="Calibri"/>
                <w:b/>
                <w:bCs/>
                <w:color w:val="000000"/>
              </w:rPr>
              <w:t>Water quality</w:t>
            </w:r>
          </w:p>
        </w:tc>
        <w:tc>
          <w:tcPr>
            <w:tcW w:w="4052" w:type="dxa"/>
            <w:shd w:val="clear" w:color="auto" w:fill="auto"/>
          </w:tcPr>
          <w:p w14:paraId="12BB94E2" w14:textId="77777777" w:rsidR="00A95EE9" w:rsidRPr="00B24FD7" w:rsidRDefault="00A95EE9" w:rsidP="00C51A12">
            <w:pPr>
              <w:rPr>
                <w:rFonts w:ascii="Calibri" w:hAnsi="Calibri"/>
                <w:color w:val="000000"/>
              </w:rPr>
            </w:pPr>
          </w:p>
        </w:tc>
        <w:tc>
          <w:tcPr>
            <w:tcW w:w="2869" w:type="dxa"/>
            <w:shd w:val="clear" w:color="auto" w:fill="auto"/>
          </w:tcPr>
          <w:p w14:paraId="414B5162" w14:textId="77777777" w:rsidR="00A95EE9" w:rsidRPr="00B24FD7" w:rsidRDefault="00A95EE9" w:rsidP="00C51A12">
            <w:pPr>
              <w:rPr>
                <w:rFonts w:ascii="Calibri" w:hAnsi="Calibri"/>
                <w:color w:val="000000"/>
              </w:rPr>
            </w:pPr>
          </w:p>
        </w:tc>
        <w:tc>
          <w:tcPr>
            <w:tcW w:w="2647" w:type="dxa"/>
          </w:tcPr>
          <w:p w14:paraId="017DE7AF" w14:textId="77777777" w:rsidR="00A95EE9" w:rsidRPr="00B24FD7" w:rsidRDefault="00A95EE9" w:rsidP="00C51A12"/>
        </w:tc>
        <w:tc>
          <w:tcPr>
            <w:tcW w:w="2647" w:type="dxa"/>
          </w:tcPr>
          <w:p w14:paraId="562DD833" w14:textId="77777777" w:rsidR="00A95EE9" w:rsidRPr="00B24FD7" w:rsidRDefault="00A95EE9" w:rsidP="00C51A12"/>
        </w:tc>
      </w:tr>
      <w:tr w:rsidR="00A95EE9" w14:paraId="0E93D74C" w14:textId="77777777" w:rsidTr="00C51A12">
        <w:tc>
          <w:tcPr>
            <w:tcW w:w="1465" w:type="dxa"/>
            <w:shd w:val="clear" w:color="auto" w:fill="auto"/>
          </w:tcPr>
          <w:p w14:paraId="73ABB689" w14:textId="1627A925" w:rsidR="00A95EE9" w:rsidRDefault="00A95EE9" w:rsidP="00C51A12">
            <w:pPr>
              <w:rPr>
                <w:rFonts w:ascii="Calibri" w:hAnsi="Calibri"/>
                <w:b/>
                <w:bCs/>
                <w:color w:val="000000"/>
              </w:rPr>
            </w:pPr>
            <w:r>
              <w:rPr>
                <w:rFonts w:ascii="Calibri" w:hAnsi="Calibri"/>
                <w:b/>
                <w:bCs/>
                <w:color w:val="000000"/>
              </w:rPr>
              <w:t>Aquifer</w:t>
            </w:r>
          </w:p>
        </w:tc>
        <w:tc>
          <w:tcPr>
            <w:tcW w:w="4052" w:type="dxa"/>
            <w:shd w:val="clear" w:color="auto" w:fill="auto"/>
          </w:tcPr>
          <w:p w14:paraId="1D8691E5" w14:textId="77777777" w:rsidR="00A95EE9" w:rsidRPr="00B24FD7" w:rsidRDefault="00A95EE9" w:rsidP="00C51A12">
            <w:pPr>
              <w:rPr>
                <w:rFonts w:ascii="Calibri" w:hAnsi="Calibri"/>
                <w:color w:val="000000"/>
              </w:rPr>
            </w:pPr>
          </w:p>
        </w:tc>
        <w:tc>
          <w:tcPr>
            <w:tcW w:w="2869" w:type="dxa"/>
            <w:shd w:val="clear" w:color="auto" w:fill="auto"/>
          </w:tcPr>
          <w:p w14:paraId="4E97B5DD" w14:textId="77777777" w:rsidR="00A95EE9" w:rsidRPr="00B24FD7" w:rsidRDefault="00A95EE9" w:rsidP="00C51A12">
            <w:pPr>
              <w:rPr>
                <w:rFonts w:ascii="Calibri" w:hAnsi="Calibri"/>
                <w:color w:val="000000"/>
              </w:rPr>
            </w:pPr>
          </w:p>
        </w:tc>
        <w:tc>
          <w:tcPr>
            <w:tcW w:w="2647" w:type="dxa"/>
          </w:tcPr>
          <w:p w14:paraId="2D28B78D" w14:textId="77777777" w:rsidR="00A95EE9" w:rsidRPr="00B24FD7" w:rsidRDefault="00A95EE9" w:rsidP="00C51A12"/>
        </w:tc>
        <w:tc>
          <w:tcPr>
            <w:tcW w:w="2647" w:type="dxa"/>
          </w:tcPr>
          <w:p w14:paraId="0E167504" w14:textId="77777777" w:rsidR="00A95EE9" w:rsidRPr="00B24FD7" w:rsidRDefault="00A95EE9" w:rsidP="00C51A12"/>
        </w:tc>
      </w:tr>
      <w:tr w:rsidR="00A95EE9" w14:paraId="0BED0BD0" w14:textId="77777777" w:rsidTr="00C51A12">
        <w:tc>
          <w:tcPr>
            <w:tcW w:w="1465" w:type="dxa"/>
            <w:shd w:val="clear" w:color="auto" w:fill="auto"/>
          </w:tcPr>
          <w:p w14:paraId="708D5529" w14:textId="3539A59D" w:rsidR="00A95EE9" w:rsidRDefault="00A95EE9" w:rsidP="00C51A12">
            <w:pPr>
              <w:rPr>
                <w:rFonts w:ascii="Calibri" w:hAnsi="Calibri"/>
                <w:b/>
                <w:bCs/>
                <w:color w:val="000000"/>
              </w:rPr>
            </w:pPr>
            <w:r>
              <w:rPr>
                <w:rFonts w:ascii="Calibri" w:hAnsi="Calibri"/>
                <w:b/>
                <w:bCs/>
                <w:color w:val="000000"/>
              </w:rPr>
              <w:t>River basin</w:t>
            </w:r>
          </w:p>
        </w:tc>
        <w:tc>
          <w:tcPr>
            <w:tcW w:w="4052" w:type="dxa"/>
            <w:shd w:val="clear" w:color="auto" w:fill="auto"/>
          </w:tcPr>
          <w:p w14:paraId="79090B90" w14:textId="77777777" w:rsidR="00A95EE9" w:rsidRPr="00B24FD7" w:rsidRDefault="00A95EE9" w:rsidP="00C51A12">
            <w:pPr>
              <w:rPr>
                <w:rFonts w:ascii="Calibri" w:hAnsi="Calibri"/>
                <w:color w:val="000000"/>
              </w:rPr>
            </w:pPr>
          </w:p>
        </w:tc>
        <w:tc>
          <w:tcPr>
            <w:tcW w:w="2869" w:type="dxa"/>
            <w:shd w:val="clear" w:color="auto" w:fill="auto"/>
          </w:tcPr>
          <w:p w14:paraId="6B0D9550" w14:textId="77777777" w:rsidR="00A95EE9" w:rsidRPr="00B24FD7" w:rsidRDefault="00A95EE9" w:rsidP="00C51A12">
            <w:pPr>
              <w:rPr>
                <w:rFonts w:ascii="Calibri" w:hAnsi="Calibri"/>
                <w:color w:val="000000"/>
              </w:rPr>
            </w:pPr>
          </w:p>
        </w:tc>
        <w:tc>
          <w:tcPr>
            <w:tcW w:w="2647" w:type="dxa"/>
          </w:tcPr>
          <w:p w14:paraId="0325FD9A" w14:textId="77777777" w:rsidR="00A95EE9" w:rsidRPr="00B24FD7" w:rsidRDefault="00A95EE9" w:rsidP="00C51A12"/>
        </w:tc>
        <w:tc>
          <w:tcPr>
            <w:tcW w:w="2647" w:type="dxa"/>
          </w:tcPr>
          <w:p w14:paraId="637EA0D6" w14:textId="77777777" w:rsidR="00A95EE9" w:rsidRPr="00B24FD7" w:rsidRDefault="00A95EE9" w:rsidP="00C51A12"/>
        </w:tc>
      </w:tr>
      <w:tr w:rsidR="00A95EE9" w14:paraId="3B871D0E" w14:textId="77777777" w:rsidTr="00C51A12">
        <w:tc>
          <w:tcPr>
            <w:tcW w:w="1465" w:type="dxa"/>
            <w:shd w:val="clear" w:color="auto" w:fill="auto"/>
          </w:tcPr>
          <w:p w14:paraId="2A294840" w14:textId="458829D1" w:rsidR="00A95EE9" w:rsidRDefault="00882F88" w:rsidP="00C51A12">
            <w:pPr>
              <w:rPr>
                <w:rFonts w:ascii="Calibri" w:hAnsi="Calibri"/>
                <w:b/>
                <w:bCs/>
                <w:color w:val="000000"/>
              </w:rPr>
            </w:pPr>
            <w:r>
              <w:rPr>
                <w:rFonts w:ascii="Calibri" w:hAnsi="Calibri"/>
                <w:b/>
                <w:bCs/>
                <w:color w:val="000000"/>
              </w:rPr>
              <w:t>Access</w:t>
            </w:r>
          </w:p>
        </w:tc>
        <w:tc>
          <w:tcPr>
            <w:tcW w:w="4052" w:type="dxa"/>
            <w:shd w:val="clear" w:color="auto" w:fill="auto"/>
          </w:tcPr>
          <w:p w14:paraId="0CC58B9B" w14:textId="77777777" w:rsidR="00A95EE9" w:rsidRPr="00B24FD7" w:rsidRDefault="00A95EE9" w:rsidP="00C51A12">
            <w:pPr>
              <w:rPr>
                <w:rFonts w:ascii="Calibri" w:hAnsi="Calibri"/>
                <w:color w:val="000000"/>
              </w:rPr>
            </w:pPr>
          </w:p>
        </w:tc>
        <w:tc>
          <w:tcPr>
            <w:tcW w:w="2869" w:type="dxa"/>
            <w:shd w:val="clear" w:color="auto" w:fill="auto"/>
          </w:tcPr>
          <w:p w14:paraId="1189704F" w14:textId="77777777" w:rsidR="00A95EE9" w:rsidRPr="00B24FD7" w:rsidRDefault="00A95EE9" w:rsidP="00C51A12">
            <w:pPr>
              <w:rPr>
                <w:rFonts w:ascii="Calibri" w:hAnsi="Calibri"/>
                <w:color w:val="000000"/>
              </w:rPr>
            </w:pPr>
          </w:p>
        </w:tc>
        <w:tc>
          <w:tcPr>
            <w:tcW w:w="2647" w:type="dxa"/>
          </w:tcPr>
          <w:p w14:paraId="60A6469D" w14:textId="77777777" w:rsidR="00A95EE9" w:rsidRPr="00B24FD7" w:rsidRDefault="00A95EE9" w:rsidP="00C51A12"/>
        </w:tc>
        <w:tc>
          <w:tcPr>
            <w:tcW w:w="2647" w:type="dxa"/>
          </w:tcPr>
          <w:p w14:paraId="65EFCC8D" w14:textId="77777777" w:rsidR="00A95EE9" w:rsidRPr="00B24FD7" w:rsidRDefault="00A95EE9" w:rsidP="00C51A12"/>
        </w:tc>
      </w:tr>
      <w:tr w:rsidR="00882F88" w14:paraId="2E18CEE9" w14:textId="77777777" w:rsidTr="00C51A12">
        <w:tc>
          <w:tcPr>
            <w:tcW w:w="1465" w:type="dxa"/>
            <w:shd w:val="clear" w:color="auto" w:fill="auto"/>
          </w:tcPr>
          <w:p w14:paraId="158F6D13" w14:textId="08C68DE6" w:rsidR="00882F88" w:rsidRDefault="00882F88" w:rsidP="00C51A12">
            <w:pPr>
              <w:rPr>
                <w:rFonts w:ascii="Calibri" w:hAnsi="Calibri"/>
                <w:b/>
                <w:bCs/>
                <w:color w:val="000000"/>
              </w:rPr>
            </w:pPr>
            <w:r>
              <w:rPr>
                <w:rFonts w:ascii="Calibri" w:hAnsi="Calibri"/>
                <w:b/>
                <w:bCs/>
                <w:color w:val="000000"/>
              </w:rPr>
              <w:t>Availability</w:t>
            </w:r>
          </w:p>
        </w:tc>
        <w:tc>
          <w:tcPr>
            <w:tcW w:w="4052" w:type="dxa"/>
            <w:shd w:val="clear" w:color="auto" w:fill="auto"/>
          </w:tcPr>
          <w:p w14:paraId="3A583C88" w14:textId="77777777" w:rsidR="00882F88" w:rsidRPr="00B24FD7" w:rsidRDefault="00882F88" w:rsidP="00C51A12">
            <w:pPr>
              <w:rPr>
                <w:rFonts w:ascii="Calibri" w:hAnsi="Calibri"/>
                <w:color w:val="000000"/>
              </w:rPr>
            </w:pPr>
          </w:p>
        </w:tc>
        <w:tc>
          <w:tcPr>
            <w:tcW w:w="2869" w:type="dxa"/>
            <w:shd w:val="clear" w:color="auto" w:fill="auto"/>
          </w:tcPr>
          <w:p w14:paraId="661703F2" w14:textId="77777777" w:rsidR="00882F88" w:rsidRPr="00B24FD7" w:rsidRDefault="00882F88" w:rsidP="00C51A12">
            <w:pPr>
              <w:rPr>
                <w:rFonts w:ascii="Calibri" w:hAnsi="Calibri"/>
                <w:color w:val="000000"/>
              </w:rPr>
            </w:pPr>
          </w:p>
        </w:tc>
        <w:tc>
          <w:tcPr>
            <w:tcW w:w="2647" w:type="dxa"/>
          </w:tcPr>
          <w:p w14:paraId="1BFF5340" w14:textId="77777777" w:rsidR="00882F88" w:rsidRPr="00B24FD7" w:rsidRDefault="00882F88" w:rsidP="00C51A12"/>
        </w:tc>
        <w:tc>
          <w:tcPr>
            <w:tcW w:w="2647" w:type="dxa"/>
          </w:tcPr>
          <w:p w14:paraId="2D298D27" w14:textId="77777777" w:rsidR="00882F88" w:rsidRPr="00B24FD7" w:rsidRDefault="00882F88" w:rsidP="00C51A12"/>
        </w:tc>
      </w:tr>
      <w:tr w:rsidR="007C6C53" w14:paraId="33F35E67" w14:textId="77777777" w:rsidTr="00C51A12">
        <w:tc>
          <w:tcPr>
            <w:tcW w:w="1465" w:type="dxa"/>
            <w:shd w:val="clear" w:color="auto" w:fill="auto"/>
          </w:tcPr>
          <w:p w14:paraId="59A3FA61" w14:textId="1A796704" w:rsidR="007C6C53" w:rsidRDefault="007C6C53" w:rsidP="00C51A12">
            <w:pPr>
              <w:rPr>
                <w:rFonts w:ascii="Calibri" w:hAnsi="Calibri"/>
                <w:b/>
                <w:bCs/>
                <w:color w:val="000000"/>
              </w:rPr>
            </w:pPr>
            <w:r>
              <w:rPr>
                <w:rFonts w:ascii="Calibri" w:hAnsi="Calibri"/>
                <w:b/>
                <w:bCs/>
                <w:color w:val="000000"/>
              </w:rPr>
              <w:t>Renewable water supply?</w:t>
            </w:r>
          </w:p>
        </w:tc>
        <w:tc>
          <w:tcPr>
            <w:tcW w:w="4052" w:type="dxa"/>
            <w:shd w:val="clear" w:color="auto" w:fill="auto"/>
          </w:tcPr>
          <w:p w14:paraId="02C94D0F" w14:textId="77777777" w:rsidR="007C6C53" w:rsidRPr="00B24FD7" w:rsidRDefault="007C6C53" w:rsidP="00C51A12">
            <w:pPr>
              <w:rPr>
                <w:rFonts w:ascii="Calibri" w:hAnsi="Calibri"/>
                <w:color w:val="000000"/>
              </w:rPr>
            </w:pPr>
          </w:p>
        </w:tc>
        <w:tc>
          <w:tcPr>
            <w:tcW w:w="2869" w:type="dxa"/>
            <w:shd w:val="clear" w:color="auto" w:fill="auto"/>
          </w:tcPr>
          <w:p w14:paraId="7F9DE88D" w14:textId="77777777" w:rsidR="007C6C53" w:rsidRPr="00B24FD7" w:rsidRDefault="007C6C53" w:rsidP="00C51A12">
            <w:pPr>
              <w:rPr>
                <w:rFonts w:ascii="Calibri" w:hAnsi="Calibri"/>
                <w:color w:val="000000"/>
              </w:rPr>
            </w:pPr>
          </w:p>
        </w:tc>
        <w:tc>
          <w:tcPr>
            <w:tcW w:w="2647" w:type="dxa"/>
          </w:tcPr>
          <w:p w14:paraId="67EF5A97" w14:textId="77777777" w:rsidR="007C6C53" w:rsidRPr="00B24FD7" w:rsidRDefault="007C6C53" w:rsidP="00C51A12"/>
        </w:tc>
        <w:tc>
          <w:tcPr>
            <w:tcW w:w="2647" w:type="dxa"/>
          </w:tcPr>
          <w:p w14:paraId="64733CE1" w14:textId="77777777" w:rsidR="007C6C53" w:rsidRPr="00B24FD7" w:rsidRDefault="007C6C53" w:rsidP="00C51A12"/>
        </w:tc>
      </w:tr>
    </w:tbl>
    <w:p w14:paraId="13F3F4AB" w14:textId="77777777" w:rsidR="00E04E58" w:rsidRPr="00383B19" w:rsidRDefault="00E04E58" w:rsidP="00E04E58">
      <w:pPr>
        <w:pStyle w:val="NoSpacing"/>
      </w:pPr>
    </w:p>
    <w:p w14:paraId="1725E112" w14:textId="2CB94996" w:rsidR="00861705" w:rsidRDefault="00861705">
      <w:r>
        <w:br w:type="page"/>
      </w:r>
    </w:p>
    <w:p w14:paraId="2075FF6B" w14:textId="2E710CA7" w:rsidR="00861705" w:rsidRPr="00E04E58" w:rsidRDefault="00861705" w:rsidP="00861705">
      <w:pPr>
        <w:pStyle w:val="NoSpacing"/>
        <w:rPr>
          <w:b/>
          <w:szCs w:val="16"/>
        </w:rPr>
      </w:pPr>
      <w:bookmarkStart w:id="7" w:name="Glossary_for_Gender"/>
      <w:bookmarkEnd w:id="7"/>
      <w:r w:rsidRPr="00B65DEE">
        <w:rPr>
          <w:b/>
          <w:sz w:val="32"/>
        </w:rPr>
        <w:t xml:space="preserve">Glossary for </w:t>
      </w:r>
      <w:r>
        <w:rPr>
          <w:b/>
          <w:sz w:val="32"/>
        </w:rPr>
        <w:t>Gender</w:t>
      </w:r>
    </w:p>
    <w:tbl>
      <w:tblPr>
        <w:tblStyle w:val="TableGrid"/>
        <w:tblW w:w="13680" w:type="dxa"/>
        <w:tblInd w:w="60" w:type="dxa"/>
        <w:tblLayout w:type="fixed"/>
        <w:tblLook w:val="04A0" w:firstRow="1" w:lastRow="0" w:firstColumn="1" w:lastColumn="0" w:noHBand="0" w:noVBand="1"/>
      </w:tblPr>
      <w:tblGrid>
        <w:gridCol w:w="1555"/>
        <w:gridCol w:w="4050"/>
        <w:gridCol w:w="2781"/>
        <w:gridCol w:w="2647"/>
        <w:gridCol w:w="2647"/>
      </w:tblGrid>
      <w:tr w:rsidR="009B5F16" w14:paraId="510AE7B2" w14:textId="77777777" w:rsidTr="002E0809">
        <w:tc>
          <w:tcPr>
            <w:tcW w:w="1555" w:type="dxa"/>
            <w:shd w:val="clear" w:color="auto" w:fill="A6CE39"/>
            <w:vAlign w:val="center"/>
          </w:tcPr>
          <w:p w14:paraId="305F4574" w14:textId="77777777" w:rsidR="009B5F16" w:rsidRPr="00383B19" w:rsidRDefault="009B5F16" w:rsidP="00D236F6">
            <w:pPr>
              <w:jc w:val="center"/>
              <w:rPr>
                <w:b/>
                <w:sz w:val="24"/>
              </w:rPr>
            </w:pPr>
            <w:r w:rsidRPr="00383B19">
              <w:rPr>
                <w:b/>
                <w:sz w:val="24"/>
              </w:rPr>
              <w:t>Standard Term</w:t>
            </w:r>
          </w:p>
        </w:tc>
        <w:tc>
          <w:tcPr>
            <w:tcW w:w="4050" w:type="dxa"/>
            <w:shd w:val="clear" w:color="auto" w:fill="A6CE39"/>
            <w:vAlign w:val="center"/>
          </w:tcPr>
          <w:p w14:paraId="51F84ABB" w14:textId="77777777" w:rsidR="009B5F16" w:rsidRPr="00383B19" w:rsidRDefault="009B5F16" w:rsidP="00D236F6">
            <w:pPr>
              <w:jc w:val="center"/>
              <w:rPr>
                <w:b/>
                <w:sz w:val="24"/>
              </w:rPr>
            </w:pPr>
            <w:r w:rsidRPr="00383B19">
              <w:rPr>
                <w:b/>
                <w:sz w:val="24"/>
              </w:rPr>
              <w:t>Definition</w:t>
            </w:r>
          </w:p>
        </w:tc>
        <w:tc>
          <w:tcPr>
            <w:tcW w:w="2781" w:type="dxa"/>
            <w:shd w:val="clear" w:color="auto" w:fill="A6CE39"/>
            <w:vAlign w:val="center"/>
          </w:tcPr>
          <w:p w14:paraId="3D57CEBC" w14:textId="77777777" w:rsidR="009B5F16" w:rsidRPr="00383B19" w:rsidRDefault="009B5F16" w:rsidP="00D236F6">
            <w:pPr>
              <w:jc w:val="center"/>
              <w:rPr>
                <w:b/>
                <w:sz w:val="24"/>
              </w:rPr>
            </w:pPr>
            <w:r w:rsidRPr="00383B19">
              <w:rPr>
                <w:b/>
                <w:sz w:val="24"/>
              </w:rPr>
              <w:t>Methodological Consideration</w:t>
            </w:r>
            <w:r>
              <w:rPr>
                <w:b/>
                <w:sz w:val="24"/>
              </w:rPr>
              <w:t>s</w:t>
            </w:r>
          </w:p>
        </w:tc>
        <w:tc>
          <w:tcPr>
            <w:tcW w:w="2647" w:type="dxa"/>
            <w:shd w:val="clear" w:color="auto" w:fill="A6CE39"/>
          </w:tcPr>
          <w:p w14:paraId="6CA2E43A" w14:textId="77777777" w:rsidR="009B5F16" w:rsidRPr="00383B19" w:rsidRDefault="009B5F16" w:rsidP="00D236F6">
            <w:pPr>
              <w:jc w:val="center"/>
              <w:rPr>
                <w:b/>
                <w:sz w:val="24"/>
              </w:rPr>
            </w:pPr>
            <w:r>
              <w:rPr>
                <w:b/>
                <w:sz w:val="24"/>
              </w:rPr>
              <w:t>Example Indicator</w:t>
            </w:r>
          </w:p>
        </w:tc>
        <w:tc>
          <w:tcPr>
            <w:tcW w:w="2647" w:type="dxa"/>
            <w:shd w:val="clear" w:color="auto" w:fill="A6CE39"/>
            <w:vAlign w:val="center"/>
          </w:tcPr>
          <w:p w14:paraId="401A6E6B" w14:textId="77777777" w:rsidR="009B5F16" w:rsidRPr="00383B19" w:rsidRDefault="009B5F16" w:rsidP="00D236F6">
            <w:pPr>
              <w:jc w:val="center"/>
              <w:rPr>
                <w:b/>
                <w:sz w:val="24"/>
              </w:rPr>
            </w:pPr>
            <w:r w:rsidRPr="00383B19">
              <w:rPr>
                <w:b/>
                <w:sz w:val="24"/>
              </w:rPr>
              <w:t>External Guidance</w:t>
            </w:r>
          </w:p>
        </w:tc>
      </w:tr>
      <w:tr w:rsidR="009B5F16" w14:paraId="76930652" w14:textId="77777777" w:rsidTr="002E0809">
        <w:tc>
          <w:tcPr>
            <w:tcW w:w="1555" w:type="dxa"/>
            <w:shd w:val="clear" w:color="auto" w:fill="auto"/>
          </w:tcPr>
          <w:p w14:paraId="2A6775ED" w14:textId="77777777" w:rsidR="009B5F16" w:rsidRDefault="009B5F16" w:rsidP="00D236F6">
            <w:pPr>
              <w:rPr>
                <w:rFonts w:ascii="Calibri" w:hAnsi="Calibri"/>
                <w:b/>
                <w:bCs/>
                <w:color w:val="000000"/>
              </w:rPr>
            </w:pPr>
            <w:r w:rsidRPr="00A346E2">
              <w:rPr>
                <w:rFonts w:ascii="Calibri" w:hAnsi="Calibri"/>
                <w:b/>
                <w:bCs/>
                <w:color w:val="000000"/>
              </w:rPr>
              <w:t>Equality between women and men (gender equality)</w:t>
            </w:r>
          </w:p>
        </w:tc>
        <w:tc>
          <w:tcPr>
            <w:tcW w:w="4050" w:type="dxa"/>
            <w:shd w:val="clear" w:color="auto" w:fill="auto"/>
          </w:tcPr>
          <w:p w14:paraId="5E23CBE7" w14:textId="77777777" w:rsidR="009B5F16" w:rsidRPr="00B24FD7" w:rsidRDefault="009B5F16" w:rsidP="00D236F6">
            <w:pPr>
              <w:rPr>
                <w:rFonts w:ascii="Calibri" w:hAnsi="Calibri"/>
                <w:color w:val="000000"/>
              </w:rPr>
            </w:pPr>
            <w:r>
              <w:rPr>
                <w:rFonts w:ascii="Calibri" w:hAnsi="Calibri"/>
                <w:color w:val="000000"/>
              </w:rPr>
              <w:t>“</w:t>
            </w:r>
            <w:r w:rsidRPr="00A346E2">
              <w:rPr>
                <w:rFonts w:ascii="Calibri" w:hAnsi="Calibri"/>
                <w:color w:val="000000"/>
              </w:rPr>
              <w:t>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but should concern and fully engage men as well as women. Equality between women and men is seen both as a human rights issue and as a precondition for, and indicator of, sustainable people-centered development.</w:t>
            </w:r>
            <w:r>
              <w:rPr>
                <w:rFonts w:ascii="Calibri" w:hAnsi="Calibri"/>
                <w:color w:val="000000"/>
              </w:rPr>
              <w:t>”</w:t>
            </w:r>
          </w:p>
        </w:tc>
        <w:tc>
          <w:tcPr>
            <w:tcW w:w="2781" w:type="dxa"/>
            <w:shd w:val="clear" w:color="auto" w:fill="auto"/>
          </w:tcPr>
          <w:p w14:paraId="1E524FB6" w14:textId="77777777" w:rsidR="009B5F16" w:rsidRPr="00B24FD7" w:rsidRDefault="009B5F16" w:rsidP="00D236F6">
            <w:pPr>
              <w:rPr>
                <w:rFonts w:ascii="Calibri" w:hAnsi="Calibri"/>
                <w:color w:val="000000"/>
              </w:rPr>
            </w:pPr>
          </w:p>
        </w:tc>
        <w:tc>
          <w:tcPr>
            <w:tcW w:w="2647" w:type="dxa"/>
          </w:tcPr>
          <w:p w14:paraId="56C8B715" w14:textId="77777777" w:rsidR="009B5F16" w:rsidRPr="00B24FD7" w:rsidRDefault="009B5F16" w:rsidP="00D236F6">
            <w:pPr>
              <w:pStyle w:val="NoSpacing"/>
            </w:pPr>
          </w:p>
        </w:tc>
        <w:tc>
          <w:tcPr>
            <w:tcW w:w="2647" w:type="dxa"/>
          </w:tcPr>
          <w:p w14:paraId="6D2482C8" w14:textId="77777777" w:rsidR="009B5F16" w:rsidRDefault="009F311F" w:rsidP="00A346E2">
            <w:pPr>
              <w:pStyle w:val="NoSpacing"/>
            </w:pPr>
            <w:hyperlink r:id="rId67" w:history="1">
              <w:r w:rsidR="009B5F16" w:rsidRPr="008665BE">
                <w:rPr>
                  <w:rStyle w:val="Hyperlink"/>
                </w:rPr>
                <w:t>http://unesdoc.unesco.org/images/0023/002345/234513E.pdf</w:t>
              </w:r>
            </w:hyperlink>
          </w:p>
          <w:p w14:paraId="2CBA30E9" w14:textId="77777777" w:rsidR="009B5F16" w:rsidRDefault="009B5F16" w:rsidP="00A346E2">
            <w:pPr>
              <w:pStyle w:val="NoSpacing"/>
            </w:pPr>
            <w:r>
              <w:t>pg. 38</w:t>
            </w:r>
          </w:p>
          <w:p w14:paraId="7DF33707" w14:textId="77777777" w:rsidR="009B5F16" w:rsidRPr="00B24FD7" w:rsidRDefault="009B5F16" w:rsidP="00D236F6">
            <w:pPr>
              <w:pStyle w:val="NoSpacing"/>
            </w:pPr>
          </w:p>
        </w:tc>
      </w:tr>
      <w:tr w:rsidR="009B5F16" w14:paraId="03C33500" w14:textId="77777777" w:rsidTr="002E0809">
        <w:tc>
          <w:tcPr>
            <w:tcW w:w="1555" w:type="dxa"/>
            <w:shd w:val="clear" w:color="auto" w:fill="auto"/>
          </w:tcPr>
          <w:p w14:paraId="01665E85" w14:textId="77777777" w:rsidR="009B5F16" w:rsidRPr="00B44BFF" w:rsidRDefault="009B5F16" w:rsidP="00D236F6">
            <w:pPr>
              <w:rPr>
                <w:rFonts w:ascii="Calibri" w:hAnsi="Calibri"/>
                <w:b/>
                <w:bCs/>
                <w:color w:val="000000"/>
              </w:rPr>
            </w:pPr>
            <w:r>
              <w:rPr>
                <w:rFonts w:ascii="Calibri" w:hAnsi="Calibri"/>
                <w:b/>
                <w:bCs/>
                <w:color w:val="000000"/>
              </w:rPr>
              <w:t>Gender</w:t>
            </w:r>
          </w:p>
        </w:tc>
        <w:tc>
          <w:tcPr>
            <w:tcW w:w="4050" w:type="dxa"/>
            <w:shd w:val="clear" w:color="auto" w:fill="auto"/>
          </w:tcPr>
          <w:p w14:paraId="4F44C8FE" w14:textId="77777777" w:rsidR="009B5F16" w:rsidRPr="00B24FD7" w:rsidRDefault="009B5F16" w:rsidP="00D236F6">
            <w:pPr>
              <w:rPr>
                <w:rFonts w:ascii="Calibri" w:hAnsi="Calibri"/>
                <w:color w:val="000000"/>
              </w:rPr>
            </w:pPr>
            <w:r>
              <w:rPr>
                <w:rFonts w:ascii="Calibri" w:hAnsi="Calibri"/>
                <w:color w:val="000000"/>
              </w:rPr>
              <w:t>“</w:t>
            </w:r>
            <w:r w:rsidRPr="00861705">
              <w:rPr>
                <w:rFonts w:ascii="Calibri" w:hAnsi="Calibri"/>
                <w:color w:val="000000"/>
              </w:rPr>
              <w:t>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 time-specific and changeable. Gender determines what is expected, allowed and valued in a women or a man in a given context. In most societies there are differences and inequalities between women and men in responsibilities assigned, activities undertaken, access to and control over resources, as well as decision-making opportunities. Gender is part of the broader socio-cultural context. Other important criteria for socio-cultural analysis include class, race, poverty level, ethnic group and age.</w:t>
            </w:r>
            <w:r>
              <w:rPr>
                <w:rFonts w:ascii="Calibri" w:hAnsi="Calibri"/>
                <w:color w:val="000000"/>
              </w:rPr>
              <w:t>”</w:t>
            </w:r>
          </w:p>
        </w:tc>
        <w:tc>
          <w:tcPr>
            <w:tcW w:w="2781" w:type="dxa"/>
            <w:shd w:val="clear" w:color="auto" w:fill="auto"/>
          </w:tcPr>
          <w:p w14:paraId="1CDF865A" w14:textId="77777777" w:rsidR="009B5F16" w:rsidRPr="00B24FD7" w:rsidRDefault="009B5F16" w:rsidP="00D236F6">
            <w:pPr>
              <w:rPr>
                <w:rFonts w:ascii="Calibri" w:hAnsi="Calibri"/>
                <w:color w:val="000000"/>
              </w:rPr>
            </w:pPr>
          </w:p>
        </w:tc>
        <w:tc>
          <w:tcPr>
            <w:tcW w:w="2647" w:type="dxa"/>
          </w:tcPr>
          <w:p w14:paraId="4631F3FA" w14:textId="77777777" w:rsidR="009B5F16" w:rsidRPr="00B24FD7" w:rsidRDefault="009B5F16" w:rsidP="00D236F6">
            <w:pPr>
              <w:pStyle w:val="NoSpacing"/>
            </w:pPr>
          </w:p>
        </w:tc>
        <w:tc>
          <w:tcPr>
            <w:tcW w:w="2647" w:type="dxa"/>
          </w:tcPr>
          <w:p w14:paraId="05698A07" w14:textId="77777777" w:rsidR="009B5F16" w:rsidRDefault="009F311F" w:rsidP="00D236F6">
            <w:pPr>
              <w:pStyle w:val="NoSpacing"/>
            </w:pPr>
            <w:hyperlink r:id="rId68" w:history="1">
              <w:r w:rsidR="009B5F16" w:rsidRPr="008665BE">
                <w:rPr>
                  <w:rStyle w:val="Hyperlink"/>
                </w:rPr>
                <w:t>http://unesdoc.unesco.org/images/0023/002345/234513E.pdf</w:t>
              </w:r>
            </w:hyperlink>
          </w:p>
          <w:p w14:paraId="3CE0D79B" w14:textId="77777777" w:rsidR="009B5F16" w:rsidRDefault="009B5F16" w:rsidP="00D236F6">
            <w:pPr>
              <w:pStyle w:val="NoSpacing"/>
            </w:pPr>
            <w:r>
              <w:t>pg. 38</w:t>
            </w:r>
          </w:p>
          <w:p w14:paraId="18BC1D78" w14:textId="77777777" w:rsidR="009B5F16" w:rsidRPr="00B24FD7" w:rsidRDefault="009B5F16" w:rsidP="00D236F6">
            <w:pPr>
              <w:pStyle w:val="NoSpacing"/>
            </w:pPr>
          </w:p>
        </w:tc>
      </w:tr>
      <w:tr w:rsidR="009B5F16" w14:paraId="526E919B" w14:textId="77777777" w:rsidTr="002E0809">
        <w:tc>
          <w:tcPr>
            <w:tcW w:w="1555" w:type="dxa"/>
            <w:shd w:val="clear" w:color="auto" w:fill="auto"/>
          </w:tcPr>
          <w:p w14:paraId="72D50183" w14:textId="77777777" w:rsidR="009B5F16" w:rsidRPr="00D75B32" w:rsidRDefault="009B5F16" w:rsidP="00D236F6">
            <w:pPr>
              <w:rPr>
                <w:rFonts w:ascii="Calibri" w:hAnsi="Calibri"/>
                <w:b/>
                <w:bCs/>
                <w:color w:val="000000"/>
              </w:rPr>
            </w:pPr>
            <w:r w:rsidRPr="00A346E2">
              <w:rPr>
                <w:rFonts w:ascii="Calibri" w:hAnsi="Calibri"/>
                <w:b/>
                <w:bCs/>
                <w:color w:val="000000"/>
              </w:rPr>
              <w:t>Gender and water</w:t>
            </w:r>
          </w:p>
        </w:tc>
        <w:tc>
          <w:tcPr>
            <w:tcW w:w="4050" w:type="dxa"/>
            <w:shd w:val="clear" w:color="auto" w:fill="auto"/>
          </w:tcPr>
          <w:p w14:paraId="70A7E77D" w14:textId="77777777" w:rsidR="009B5F16" w:rsidRPr="00B24FD7" w:rsidRDefault="009B5F16" w:rsidP="00D236F6">
            <w:pPr>
              <w:rPr>
                <w:rFonts w:ascii="Calibri" w:hAnsi="Calibri"/>
                <w:color w:val="000000"/>
              </w:rPr>
            </w:pPr>
            <w:r>
              <w:t>“In most developing countries women and girls are responsible for collecting and using water for household purposes while mainly men make decisions about water resources management and development at both local and national levels. The United Nations Development Programme (UNDP) advocates the principle that policies, programmes and projects that address gender inequalities will ensure more equitable water resources management and human development opportunities for both women and men. Productive versus domestic use of water, women’s and men’s access to and control over water and land, credit and extension services as well as participation in water governance are examples of issues that need to be addressed.”</w:t>
            </w:r>
          </w:p>
        </w:tc>
        <w:tc>
          <w:tcPr>
            <w:tcW w:w="2781" w:type="dxa"/>
            <w:shd w:val="clear" w:color="auto" w:fill="auto"/>
          </w:tcPr>
          <w:p w14:paraId="74688BA3" w14:textId="77777777" w:rsidR="009B5F16" w:rsidRPr="00B24FD7" w:rsidRDefault="009B5F16" w:rsidP="00D236F6">
            <w:pPr>
              <w:rPr>
                <w:rFonts w:ascii="Calibri" w:hAnsi="Calibri"/>
                <w:color w:val="000000"/>
              </w:rPr>
            </w:pPr>
          </w:p>
        </w:tc>
        <w:tc>
          <w:tcPr>
            <w:tcW w:w="2647" w:type="dxa"/>
          </w:tcPr>
          <w:p w14:paraId="69C1D556" w14:textId="77777777" w:rsidR="009B5F16" w:rsidRPr="00B24FD7" w:rsidRDefault="009B5F16" w:rsidP="00D236F6"/>
        </w:tc>
        <w:tc>
          <w:tcPr>
            <w:tcW w:w="2647" w:type="dxa"/>
          </w:tcPr>
          <w:p w14:paraId="4C223E73" w14:textId="77777777" w:rsidR="009B5F16" w:rsidRDefault="009F311F" w:rsidP="00A346E2">
            <w:pPr>
              <w:pStyle w:val="NoSpacing"/>
            </w:pPr>
            <w:hyperlink r:id="rId69" w:history="1">
              <w:r w:rsidR="009B5F16" w:rsidRPr="008665BE">
                <w:rPr>
                  <w:rStyle w:val="Hyperlink"/>
                </w:rPr>
                <w:t>http://unesdoc.unesco.org/images/0023/002345/234513E.pdf</w:t>
              </w:r>
            </w:hyperlink>
          </w:p>
          <w:p w14:paraId="58C2A56E" w14:textId="77777777" w:rsidR="009B5F16" w:rsidRDefault="009B5F16" w:rsidP="00A346E2">
            <w:pPr>
              <w:pStyle w:val="NoSpacing"/>
            </w:pPr>
            <w:r>
              <w:t>pg. 38</w:t>
            </w:r>
          </w:p>
          <w:p w14:paraId="3E515D21" w14:textId="77777777" w:rsidR="009B5F16" w:rsidRPr="00B24FD7" w:rsidRDefault="009B5F16" w:rsidP="00D236F6"/>
        </w:tc>
      </w:tr>
      <w:tr w:rsidR="009B5F16" w14:paraId="760F2A41" w14:textId="77777777" w:rsidTr="002E0809">
        <w:tc>
          <w:tcPr>
            <w:tcW w:w="1555" w:type="dxa"/>
            <w:shd w:val="clear" w:color="auto" w:fill="auto"/>
          </w:tcPr>
          <w:p w14:paraId="76D4C03F" w14:textId="77777777" w:rsidR="009B5F16" w:rsidRPr="00A346E2" w:rsidRDefault="009B5F16" w:rsidP="00D236F6">
            <w:pPr>
              <w:rPr>
                <w:rFonts w:ascii="Calibri" w:hAnsi="Calibri"/>
                <w:b/>
                <w:bCs/>
                <w:color w:val="000000"/>
              </w:rPr>
            </w:pPr>
            <w:r>
              <w:rPr>
                <w:rFonts w:ascii="Calibri" w:hAnsi="Calibri"/>
                <w:b/>
                <w:bCs/>
                <w:color w:val="000000"/>
              </w:rPr>
              <w:t>Gender discrimination</w:t>
            </w:r>
          </w:p>
        </w:tc>
        <w:tc>
          <w:tcPr>
            <w:tcW w:w="4050" w:type="dxa"/>
            <w:shd w:val="clear" w:color="auto" w:fill="auto"/>
          </w:tcPr>
          <w:p w14:paraId="5AE02207" w14:textId="77777777" w:rsidR="009B5F16" w:rsidRDefault="009B5F16" w:rsidP="00D236F6">
            <w:r>
              <w:t>“Gender discrimination takes place when men and women are treated differently with respect to rights, benefits, obligations and opportunities on account of their being male or female.”</w:t>
            </w:r>
          </w:p>
        </w:tc>
        <w:tc>
          <w:tcPr>
            <w:tcW w:w="2781" w:type="dxa"/>
            <w:shd w:val="clear" w:color="auto" w:fill="auto"/>
          </w:tcPr>
          <w:p w14:paraId="63864B2B" w14:textId="77777777" w:rsidR="009B5F16" w:rsidRPr="00B24FD7" w:rsidRDefault="009B5F16" w:rsidP="00D236F6">
            <w:pPr>
              <w:rPr>
                <w:rFonts w:ascii="Calibri" w:hAnsi="Calibri"/>
                <w:color w:val="000000"/>
              </w:rPr>
            </w:pPr>
          </w:p>
        </w:tc>
        <w:tc>
          <w:tcPr>
            <w:tcW w:w="2647" w:type="dxa"/>
          </w:tcPr>
          <w:p w14:paraId="31FEAEA7" w14:textId="77777777" w:rsidR="009B5F16" w:rsidRPr="00B24FD7" w:rsidRDefault="009B5F16" w:rsidP="00D236F6"/>
        </w:tc>
        <w:tc>
          <w:tcPr>
            <w:tcW w:w="2647" w:type="dxa"/>
          </w:tcPr>
          <w:p w14:paraId="127F0414" w14:textId="77777777" w:rsidR="009B5F16" w:rsidRDefault="009F311F" w:rsidP="007A34C4">
            <w:pPr>
              <w:pStyle w:val="NoSpacing"/>
            </w:pPr>
            <w:hyperlink r:id="rId70" w:history="1">
              <w:r w:rsidR="009B5F16" w:rsidRPr="008665BE">
                <w:rPr>
                  <w:rStyle w:val="Hyperlink"/>
                </w:rPr>
                <w:t>http://unesdoc.unesco.org/images/0023/002345/234513E.pdf</w:t>
              </w:r>
            </w:hyperlink>
          </w:p>
          <w:p w14:paraId="2DCC2AB7" w14:textId="77777777" w:rsidR="009B5F16" w:rsidRDefault="009B5F16" w:rsidP="007A34C4">
            <w:pPr>
              <w:pStyle w:val="NoSpacing"/>
            </w:pPr>
            <w:r>
              <w:t>pg. 39</w:t>
            </w:r>
          </w:p>
          <w:p w14:paraId="0C8F71D8" w14:textId="77777777" w:rsidR="009B5F16" w:rsidRDefault="009B5F16" w:rsidP="00A346E2">
            <w:pPr>
              <w:pStyle w:val="NoSpacing"/>
            </w:pPr>
          </w:p>
        </w:tc>
      </w:tr>
    </w:tbl>
    <w:p w14:paraId="5B48C938" w14:textId="77777777" w:rsidR="00460109" w:rsidRDefault="00460109" w:rsidP="00D9613C">
      <w:pPr>
        <w:pStyle w:val="NoSpacing"/>
      </w:pPr>
    </w:p>
    <w:p w14:paraId="125C5F5C" w14:textId="102D8EB3" w:rsidR="00861705" w:rsidRPr="00383B19" w:rsidRDefault="00861705" w:rsidP="00D9613C">
      <w:pPr>
        <w:pStyle w:val="NoSpacing"/>
      </w:pPr>
    </w:p>
    <w:sectPr w:rsidR="00861705" w:rsidRPr="00383B19" w:rsidSect="00092D9B">
      <w:footerReference w:type="default" r:id="rId7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75F41" w14:textId="77777777" w:rsidR="00000098" w:rsidRDefault="00000098" w:rsidP="00B82799">
      <w:pPr>
        <w:spacing w:after="0" w:line="240" w:lineRule="auto"/>
      </w:pPr>
      <w:r>
        <w:separator/>
      </w:r>
    </w:p>
  </w:endnote>
  <w:endnote w:type="continuationSeparator" w:id="0">
    <w:p w14:paraId="13B4689B" w14:textId="77777777" w:rsidR="00000098" w:rsidRDefault="00000098" w:rsidP="00B8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84015"/>
      <w:docPartObj>
        <w:docPartGallery w:val="Page Numbers (Bottom of Page)"/>
        <w:docPartUnique/>
      </w:docPartObj>
    </w:sdtPr>
    <w:sdtEndPr/>
    <w:sdtContent>
      <w:sdt>
        <w:sdtPr>
          <w:id w:val="-1769616900"/>
          <w:docPartObj>
            <w:docPartGallery w:val="Page Numbers (Top of Page)"/>
            <w:docPartUnique/>
          </w:docPartObj>
        </w:sdtPr>
        <w:sdtEndPr/>
        <w:sdtContent>
          <w:p w14:paraId="584AC043" w14:textId="1CCF71D0" w:rsidR="00D236F6" w:rsidRDefault="00D236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311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11F">
              <w:rPr>
                <w:b/>
                <w:bCs/>
                <w:noProof/>
              </w:rPr>
              <w:t>24</w:t>
            </w:r>
            <w:r>
              <w:rPr>
                <w:b/>
                <w:bCs/>
                <w:sz w:val="24"/>
                <w:szCs w:val="24"/>
              </w:rPr>
              <w:fldChar w:fldCharType="end"/>
            </w:r>
          </w:p>
        </w:sdtContent>
      </w:sdt>
    </w:sdtContent>
  </w:sdt>
  <w:p w14:paraId="5055C235" w14:textId="77777777" w:rsidR="00D236F6" w:rsidRDefault="00D2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9E18" w14:textId="77777777" w:rsidR="00000098" w:rsidRDefault="00000098" w:rsidP="00B82799">
      <w:pPr>
        <w:spacing w:after="0" w:line="240" w:lineRule="auto"/>
      </w:pPr>
      <w:r>
        <w:separator/>
      </w:r>
    </w:p>
  </w:footnote>
  <w:footnote w:type="continuationSeparator" w:id="0">
    <w:p w14:paraId="198BDD33" w14:textId="77777777" w:rsidR="00000098" w:rsidRDefault="00000098" w:rsidP="00B82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86CB0"/>
    <w:multiLevelType w:val="hybridMultilevel"/>
    <w:tmpl w:val="C4BE28B4"/>
    <w:lvl w:ilvl="0" w:tplc="12F6A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C290C"/>
    <w:multiLevelType w:val="hybridMultilevel"/>
    <w:tmpl w:val="C0E2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57127"/>
    <w:multiLevelType w:val="hybridMultilevel"/>
    <w:tmpl w:val="8EBC3C40"/>
    <w:lvl w:ilvl="0" w:tplc="B0648AAC">
      <w:start w:val="1"/>
      <w:numFmt w:val="bullet"/>
      <w:suff w:val="space"/>
      <w:lvlText w:val=""/>
      <w:lvlJc w:val="left"/>
      <w:pPr>
        <w:ind w:left="245"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574B9"/>
    <w:multiLevelType w:val="hybridMultilevel"/>
    <w:tmpl w:val="1E3E8E14"/>
    <w:lvl w:ilvl="0" w:tplc="3AECCDE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19"/>
    <w:rsid w:val="00000098"/>
    <w:rsid w:val="00001E09"/>
    <w:rsid w:val="00002C99"/>
    <w:rsid w:val="00004F8D"/>
    <w:rsid w:val="00015CDA"/>
    <w:rsid w:val="0002148B"/>
    <w:rsid w:val="00022F17"/>
    <w:rsid w:val="0002595D"/>
    <w:rsid w:val="000265B0"/>
    <w:rsid w:val="00037309"/>
    <w:rsid w:val="000423C0"/>
    <w:rsid w:val="00042AFB"/>
    <w:rsid w:val="0004424E"/>
    <w:rsid w:val="00044C53"/>
    <w:rsid w:val="000450D5"/>
    <w:rsid w:val="000577A0"/>
    <w:rsid w:val="000577F8"/>
    <w:rsid w:val="00057B01"/>
    <w:rsid w:val="0006312E"/>
    <w:rsid w:val="00067498"/>
    <w:rsid w:val="00076068"/>
    <w:rsid w:val="00077FF8"/>
    <w:rsid w:val="00085A0C"/>
    <w:rsid w:val="000861EE"/>
    <w:rsid w:val="00091373"/>
    <w:rsid w:val="00092D9B"/>
    <w:rsid w:val="000945A4"/>
    <w:rsid w:val="000A028D"/>
    <w:rsid w:val="000A1C28"/>
    <w:rsid w:val="000A227C"/>
    <w:rsid w:val="000B324F"/>
    <w:rsid w:val="000C0353"/>
    <w:rsid w:val="000C2C8B"/>
    <w:rsid w:val="000C3072"/>
    <w:rsid w:val="000C62CC"/>
    <w:rsid w:val="000D4A65"/>
    <w:rsid w:val="000D52BB"/>
    <w:rsid w:val="000D72E5"/>
    <w:rsid w:val="000E2CDE"/>
    <w:rsid w:val="000E5E9A"/>
    <w:rsid w:val="001130B3"/>
    <w:rsid w:val="00120AAC"/>
    <w:rsid w:val="00121B30"/>
    <w:rsid w:val="00124316"/>
    <w:rsid w:val="00127802"/>
    <w:rsid w:val="00127E1E"/>
    <w:rsid w:val="0013064D"/>
    <w:rsid w:val="0013144B"/>
    <w:rsid w:val="001365E9"/>
    <w:rsid w:val="00142165"/>
    <w:rsid w:val="00146D13"/>
    <w:rsid w:val="00154978"/>
    <w:rsid w:val="00154A1C"/>
    <w:rsid w:val="001718AA"/>
    <w:rsid w:val="00185277"/>
    <w:rsid w:val="001A06C1"/>
    <w:rsid w:val="001A6FBD"/>
    <w:rsid w:val="001B1542"/>
    <w:rsid w:val="001B7EBF"/>
    <w:rsid w:val="001C3DAC"/>
    <w:rsid w:val="001D0C5B"/>
    <w:rsid w:val="001D30DA"/>
    <w:rsid w:val="001E34C7"/>
    <w:rsid w:val="001E721B"/>
    <w:rsid w:val="001F79FD"/>
    <w:rsid w:val="00201C9E"/>
    <w:rsid w:val="00217EFE"/>
    <w:rsid w:val="00226812"/>
    <w:rsid w:val="00230DB3"/>
    <w:rsid w:val="0023288D"/>
    <w:rsid w:val="00235C71"/>
    <w:rsid w:val="002362C4"/>
    <w:rsid w:val="00236BBE"/>
    <w:rsid w:val="00236ECD"/>
    <w:rsid w:val="00237262"/>
    <w:rsid w:val="00241620"/>
    <w:rsid w:val="002421FB"/>
    <w:rsid w:val="00242B9C"/>
    <w:rsid w:val="00243C73"/>
    <w:rsid w:val="00243FCE"/>
    <w:rsid w:val="0024544B"/>
    <w:rsid w:val="00246816"/>
    <w:rsid w:val="00263767"/>
    <w:rsid w:val="002642F7"/>
    <w:rsid w:val="0027781F"/>
    <w:rsid w:val="00277BBD"/>
    <w:rsid w:val="0028391F"/>
    <w:rsid w:val="0029325F"/>
    <w:rsid w:val="00297516"/>
    <w:rsid w:val="002A330A"/>
    <w:rsid w:val="002A3471"/>
    <w:rsid w:val="002A44A6"/>
    <w:rsid w:val="002A4D9D"/>
    <w:rsid w:val="002B171F"/>
    <w:rsid w:val="002B1A5E"/>
    <w:rsid w:val="002B3981"/>
    <w:rsid w:val="002B3CAE"/>
    <w:rsid w:val="002B508F"/>
    <w:rsid w:val="002B5117"/>
    <w:rsid w:val="002B6901"/>
    <w:rsid w:val="002C39D7"/>
    <w:rsid w:val="002C76F0"/>
    <w:rsid w:val="002C78AF"/>
    <w:rsid w:val="002D2A33"/>
    <w:rsid w:val="002D3BC9"/>
    <w:rsid w:val="002E0809"/>
    <w:rsid w:val="002F1593"/>
    <w:rsid w:val="002F18E7"/>
    <w:rsid w:val="002F1C32"/>
    <w:rsid w:val="002F29FE"/>
    <w:rsid w:val="002F7677"/>
    <w:rsid w:val="002F7938"/>
    <w:rsid w:val="00310DEE"/>
    <w:rsid w:val="00310E49"/>
    <w:rsid w:val="003124D1"/>
    <w:rsid w:val="00312B7C"/>
    <w:rsid w:val="00317990"/>
    <w:rsid w:val="00330D3C"/>
    <w:rsid w:val="003405BF"/>
    <w:rsid w:val="00340D66"/>
    <w:rsid w:val="00341872"/>
    <w:rsid w:val="00354623"/>
    <w:rsid w:val="00354CB5"/>
    <w:rsid w:val="003601FD"/>
    <w:rsid w:val="0036088E"/>
    <w:rsid w:val="00370388"/>
    <w:rsid w:val="00371C91"/>
    <w:rsid w:val="0037380D"/>
    <w:rsid w:val="00383B19"/>
    <w:rsid w:val="00392357"/>
    <w:rsid w:val="003A7627"/>
    <w:rsid w:val="003B0AD8"/>
    <w:rsid w:val="003B1347"/>
    <w:rsid w:val="003B1968"/>
    <w:rsid w:val="003B1ADC"/>
    <w:rsid w:val="003B381F"/>
    <w:rsid w:val="003B38F2"/>
    <w:rsid w:val="003B7681"/>
    <w:rsid w:val="003C0096"/>
    <w:rsid w:val="003C2620"/>
    <w:rsid w:val="003C2989"/>
    <w:rsid w:val="003C4FFA"/>
    <w:rsid w:val="003C6798"/>
    <w:rsid w:val="003C7A54"/>
    <w:rsid w:val="003D1AAD"/>
    <w:rsid w:val="003D3247"/>
    <w:rsid w:val="003D50DD"/>
    <w:rsid w:val="003E001C"/>
    <w:rsid w:val="003E05A8"/>
    <w:rsid w:val="003E3326"/>
    <w:rsid w:val="003E3D35"/>
    <w:rsid w:val="003F21FE"/>
    <w:rsid w:val="003F2FB5"/>
    <w:rsid w:val="003F5785"/>
    <w:rsid w:val="00402725"/>
    <w:rsid w:val="00402D2C"/>
    <w:rsid w:val="00403B29"/>
    <w:rsid w:val="00407F94"/>
    <w:rsid w:val="00411FC9"/>
    <w:rsid w:val="00414712"/>
    <w:rsid w:val="00415B59"/>
    <w:rsid w:val="00415CAE"/>
    <w:rsid w:val="00415FAB"/>
    <w:rsid w:val="004161BB"/>
    <w:rsid w:val="00420029"/>
    <w:rsid w:val="004202B4"/>
    <w:rsid w:val="00420BE3"/>
    <w:rsid w:val="004242AA"/>
    <w:rsid w:val="004261F2"/>
    <w:rsid w:val="00427D9E"/>
    <w:rsid w:val="00427FE3"/>
    <w:rsid w:val="004309E9"/>
    <w:rsid w:val="00430AB6"/>
    <w:rsid w:val="004342AE"/>
    <w:rsid w:val="004355AD"/>
    <w:rsid w:val="00436BE3"/>
    <w:rsid w:val="0045021A"/>
    <w:rsid w:val="00452FCD"/>
    <w:rsid w:val="00454415"/>
    <w:rsid w:val="00460109"/>
    <w:rsid w:val="004613E0"/>
    <w:rsid w:val="00461D68"/>
    <w:rsid w:val="004622FD"/>
    <w:rsid w:val="004630C5"/>
    <w:rsid w:val="00463B6B"/>
    <w:rsid w:val="00466BC5"/>
    <w:rsid w:val="0046783E"/>
    <w:rsid w:val="0047103B"/>
    <w:rsid w:val="00485414"/>
    <w:rsid w:val="0049039E"/>
    <w:rsid w:val="0049257D"/>
    <w:rsid w:val="00493A73"/>
    <w:rsid w:val="00495C38"/>
    <w:rsid w:val="004A117C"/>
    <w:rsid w:val="004B1269"/>
    <w:rsid w:val="004B14D1"/>
    <w:rsid w:val="004B234B"/>
    <w:rsid w:val="004B2F8E"/>
    <w:rsid w:val="004B4AE2"/>
    <w:rsid w:val="004D1382"/>
    <w:rsid w:val="004D1D34"/>
    <w:rsid w:val="004D3E0A"/>
    <w:rsid w:val="004D4D53"/>
    <w:rsid w:val="004E42E7"/>
    <w:rsid w:val="004E70AB"/>
    <w:rsid w:val="00502E3D"/>
    <w:rsid w:val="00505B39"/>
    <w:rsid w:val="00510851"/>
    <w:rsid w:val="005110B2"/>
    <w:rsid w:val="00514334"/>
    <w:rsid w:val="00515E8B"/>
    <w:rsid w:val="0051641A"/>
    <w:rsid w:val="00516553"/>
    <w:rsid w:val="00522F9B"/>
    <w:rsid w:val="005248B7"/>
    <w:rsid w:val="00525DEB"/>
    <w:rsid w:val="00532C9E"/>
    <w:rsid w:val="0053303C"/>
    <w:rsid w:val="00536990"/>
    <w:rsid w:val="005451A1"/>
    <w:rsid w:val="00545652"/>
    <w:rsid w:val="005469EC"/>
    <w:rsid w:val="00550A2F"/>
    <w:rsid w:val="005556A6"/>
    <w:rsid w:val="00557181"/>
    <w:rsid w:val="0057085B"/>
    <w:rsid w:val="0057110C"/>
    <w:rsid w:val="005728A3"/>
    <w:rsid w:val="005729A6"/>
    <w:rsid w:val="00575CB0"/>
    <w:rsid w:val="00587F6C"/>
    <w:rsid w:val="0059022D"/>
    <w:rsid w:val="0059043F"/>
    <w:rsid w:val="00592DBA"/>
    <w:rsid w:val="0059451D"/>
    <w:rsid w:val="0059665C"/>
    <w:rsid w:val="005A076F"/>
    <w:rsid w:val="005A55ED"/>
    <w:rsid w:val="005B1790"/>
    <w:rsid w:val="005B2777"/>
    <w:rsid w:val="005B6519"/>
    <w:rsid w:val="005B6A3A"/>
    <w:rsid w:val="005C0218"/>
    <w:rsid w:val="005C2647"/>
    <w:rsid w:val="005C2DD3"/>
    <w:rsid w:val="005C763E"/>
    <w:rsid w:val="005C7BEA"/>
    <w:rsid w:val="005D118B"/>
    <w:rsid w:val="005D3F80"/>
    <w:rsid w:val="005E0123"/>
    <w:rsid w:val="005E0957"/>
    <w:rsid w:val="005F7FD8"/>
    <w:rsid w:val="006139D3"/>
    <w:rsid w:val="00614E29"/>
    <w:rsid w:val="00625178"/>
    <w:rsid w:val="0062570F"/>
    <w:rsid w:val="00625847"/>
    <w:rsid w:val="0062629B"/>
    <w:rsid w:val="00630333"/>
    <w:rsid w:val="00630D1D"/>
    <w:rsid w:val="0063326B"/>
    <w:rsid w:val="00636292"/>
    <w:rsid w:val="0064175D"/>
    <w:rsid w:val="00641A9F"/>
    <w:rsid w:val="00641D2C"/>
    <w:rsid w:val="00643201"/>
    <w:rsid w:val="00646F7D"/>
    <w:rsid w:val="00650F1C"/>
    <w:rsid w:val="00653E5F"/>
    <w:rsid w:val="006672C3"/>
    <w:rsid w:val="00672A5D"/>
    <w:rsid w:val="00673EE1"/>
    <w:rsid w:val="0068082C"/>
    <w:rsid w:val="0068674D"/>
    <w:rsid w:val="00692E31"/>
    <w:rsid w:val="00697F56"/>
    <w:rsid w:val="006A17D3"/>
    <w:rsid w:val="006A198E"/>
    <w:rsid w:val="006A251B"/>
    <w:rsid w:val="006A5064"/>
    <w:rsid w:val="006B52DA"/>
    <w:rsid w:val="006B6CB9"/>
    <w:rsid w:val="006C3A7F"/>
    <w:rsid w:val="006D1689"/>
    <w:rsid w:val="006D4B0C"/>
    <w:rsid w:val="006D4BDE"/>
    <w:rsid w:val="006D5D8D"/>
    <w:rsid w:val="006E1FA9"/>
    <w:rsid w:val="006E3D1D"/>
    <w:rsid w:val="006F6ABE"/>
    <w:rsid w:val="00701178"/>
    <w:rsid w:val="007026C8"/>
    <w:rsid w:val="0070372D"/>
    <w:rsid w:val="007041D9"/>
    <w:rsid w:val="0070450E"/>
    <w:rsid w:val="00704944"/>
    <w:rsid w:val="00706312"/>
    <w:rsid w:val="0070739C"/>
    <w:rsid w:val="00711321"/>
    <w:rsid w:val="00720E79"/>
    <w:rsid w:val="00720E8D"/>
    <w:rsid w:val="00724549"/>
    <w:rsid w:val="007272B5"/>
    <w:rsid w:val="00731601"/>
    <w:rsid w:val="00734CD2"/>
    <w:rsid w:val="00735B9B"/>
    <w:rsid w:val="00737179"/>
    <w:rsid w:val="00743A3F"/>
    <w:rsid w:val="007518F0"/>
    <w:rsid w:val="007608B0"/>
    <w:rsid w:val="00760F3B"/>
    <w:rsid w:val="007647F8"/>
    <w:rsid w:val="007651B3"/>
    <w:rsid w:val="00771E4E"/>
    <w:rsid w:val="0077286D"/>
    <w:rsid w:val="007742B3"/>
    <w:rsid w:val="0077509F"/>
    <w:rsid w:val="00775520"/>
    <w:rsid w:val="00775943"/>
    <w:rsid w:val="00775E72"/>
    <w:rsid w:val="00780D6C"/>
    <w:rsid w:val="00790427"/>
    <w:rsid w:val="00792D46"/>
    <w:rsid w:val="00794F46"/>
    <w:rsid w:val="007A14FD"/>
    <w:rsid w:val="007A34C4"/>
    <w:rsid w:val="007A4E83"/>
    <w:rsid w:val="007A580F"/>
    <w:rsid w:val="007A6058"/>
    <w:rsid w:val="007C653A"/>
    <w:rsid w:val="007C6C53"/>
    <w:rsid w:val="007D3D1B"/>
    <w:rsid w:val="007D6D12"/>
    <w:rsid w:val="007D6FF4"/>
    <w:rsid w:val="007E37B7"/>
    <w:rsid w:val="007F14F4"/>
    <w:rsid w:val="00800AB8"/>
    <w:rsid w:val="00804165"/>
    <w:rsid w:val="0080508C"/>
    <w:rsid w:val="0080625E"/>
    <w:rsid w:val="00815055"/>
    <w:rsid w:val="008200D1"/>
    <w:rsid w:val="00823AA5"/>
    <w:rsid w:val="00830CE6"/>
    <w:rsid w:val="00830E24"/>
    <w:rsid w:val="00836F47"/>
    <w:rsid w:val="008455F2"/>
    <w:rsid w:val="00845E5D"/>
    <w:rsid w:val="00855BE0"/>
    <w:rsid w:val="00857715"/>
    <w:rsid w:val="00861705"/>
    <w:rsid w:val="00865966"/>
    <w:rsid w:val="00872F55"/>
    <w:rsid w:val="008739D8"/>
    <w:rsid w:val="00875502"/>
    <w:rsid w:val="00880D26"/>
    <w:rsid w:val="00882695"/>
    <w:rsid w:val="00882F88"/>
    <w:rsid w:val="0089115E"/>
    <w:rsid w:val="0089601A"/>
    <w:rsid w:val="008961AE"/>
    <w:rsid w:val="00897E39"/>
    <w:rsid w:val="008A066E"/>
    <w:rsid w:val="008A2D91"/>
    <w:rsid w:val="008B03C7"/>
    <w:rsid w:val="008B0CD2"/>
    <w:rsid w:val="008C4C50"/>
    <w:rsid w:val="008D06AE"/>
    <w:rsid w:val="008D06F7"/>
    <w:rsid w:val="008D1F8B"/>
    <w:rsid w:val="008D3A54"/>
    <w:rsid w:val="008D46F9"/>
    <w:rsid w:val="008D51F9"/>
    <w:rsid w:val="008E0003"/>
    <w:rsid w:val="008F4DFA"/>
    <w:rsid w:val="008F7C51"/>
    <w:rsid w:val="00900F63"/>
    <w:rsid w:val="0090248D"/>
    <w:rsid w:val="0090342D"/>
    <w:rsid w:val="009234E0"/>
    <w:rsid w:val="0092384C"/>
    <w:rsid w:val="00931CD4"/>
    <w:rsid w:val="009347FF"/>
    <w:rsid w:val="009352EC"/>
    <w:rsid w:val="00940B3F"/>
    <w:rsid w:val="00941C77"/>
    <w:rsid w:val="009444E2"/>
    <w:rsid w:val="00945117"/>
    <w:rsid w:val="0096080E"/>
    <w:rsid w:val="00966F35"/>
    <w:rsid w:val="0098473C"/>
    <w:rsid w:val="00984D86"/>
    <w:rsid w:val="00994EF7"/>
    <w:rsid w:val="009976DF"/>
    <w:rsid w:val="009A5D8E"/>
    <w:rsid w:val="009B31C4"/>
    <w:rsid w:val="009B54E0"/>
    <w:rsid w:val="009B5F16"/>
    <w:rsid w:val="009C4028"/>
    <w:rsid w:val="009C4041"/>
    <w:rsid w:val="009C514B"/>
    <w:rsid w:val="009C7697"/>
    <w:rsid w:val="009D25D4"/>
    <w:rsid w:val="009D6B01"/>
    <w:rsid w:val="009E144C"/>
    <w:rsid w:val="009E712C"/>
    <w:rsid w:val="009F311F"/>
    <w:rsid w:val="009F498D"/>
    <w:rsid w:val="00A012CE"/>
    <w:rsid w:val="00A02095"/>
    <w:rsid w:val="00A03FBD"/>
    <w:rsid w:val="00A04C4D"/>
    <w:rsid w:val="00A05131"/>
    <w:rsid w:val="00A06E75"/>
    <w:rsid w:val="00A10CFB"/>
    <w:rsid w:val="00A12C18"/>
    <w:rsid w:val="00A14AA3"/>
    <w:rsid w:val="00A1743B"/>
    <w:rsid w:val="00A22C45"/>
    <w:rsid w:val="00A25ADE"/>
    <w:rsid w:val="00A3341D"/>
    <w:rsid w:val="00A346E2"/>
    <w:rsid w:val="00A37353"/>
    <w:rsid w:val="00A40568"/>
    <w:rsid w:val="00A42178"/>
    <w:rsid w:val="00A4693E"/>
    <w:rsid w:val="00A530B4"/>
    <w:rsid w:val="00A57A23"/>
    <w:rsid w:val="00A64059"/>
    <w:rsid w:val="00A645BB"/>
    <w:rsid w:val="00A64D59"/>
    <w:rsid w:val="00A658A7"/>
    <w:rsid w:val="00A671FD"/>
    <w:rsid w:val="00A676AC"/>
    <w:rsid w:val="00A70BA8"/>
    <w:rsid w:val="00A72D3E"/>
    <w:rsid w:val="00A83FA3"/>
    <w:rsid w:val="00A874BC"/>
    <w:rsid w:val="00A87905"/>
    <w:rsid w:val="00A904F6"/>
    <w:rsid w:val="00A90E3F"/>
    <w:rsid w:val="00A95EE9"/>
    <w:rsid w:val="00A97F83"/>
    <w:rsid w:val="00AA2563"/>
    <w:rsid w:val="00AA55B9"/>
    <w:rsid w:val="00AA6D0C"/>
    <w:rsid w:val="00AB13BE"/>
    <w:rsid w:val="00AC18E4"/>
    <w:rsid w:val="00AD1F28"/>
    <w:rsid w:val="00AE2712"/>
    <w:rsid w:val="00AE391F"/>
    <w:rsid w:val="00AF0087"/>
    <w:rsid w:val="00AF0719"/>
    <w:rsid w:val="00AF0A31"/>
    <w:rsid w:val="00AF2A97"/>
    <w:rsid w:val="00AF6063"/>
    <w:rsid w:val="00B0766D"/>
    <w:rsid w:val="00B0771B"/>
    <w:rsid w:val="00B12C7A"/>
    <w:rsid w:val="00B1432F"/>
    <w:rsid w:val="00B14412"/>
    <w:rsid w:val="00B145A1"/>
    <w:rsid w:val="00B14DB3"/>
    <w:rsid w:val="00B176CE"/>
    <w:rsid w:val="00B177DF"/>
    <w:rsid w:val="00B220BD"/>
    <w:rsid w:val="00B22937"/>
    <w:rsid w:val="00B24FD7"/>
    <w:rsid w:val="00B3327A"/>
    <w:rsid w:val="00B33528"/>
    <w:rsid w:val="00B36B16"/>
    <w:rsid w:val="00B37788"/>
    <w:rsid w:val="00B4066E"/>
    <w:rsid w:val="00B44589"/>
    <w:rsid w:val="00B44BFF"/>
    <w:rsid w:val="00B52B57"/>
    <w:rsid w:val="00B54EE2"/>
    <w:rsid w:val="00B573E0"/>
    <w:rsid w:val="00B62FDC"/>
    <w:rsid w:val="00B65DEE"/>
    <w:rsid w:val="00B71A2B"/>
    <w:rsid w:val="00B74E2A"/>
    <w:rsid w:val="00B74E4A"/>
    <w:rsid w:val="00B8199C"/>
    <w:rsid w:val="00B82410"/>
    <w:rsid w:val="00B82799"/>
    <w:rsid w:val="00B87328"/>
    <w:rsid w:val="00B879A2"/>
    <w:rsid w:val="00B87DEB"/>
    <w:rsid w:val="00B929CF"/>
    <w:rsid w:val="00B979E2"/>
    <w:rsid w:val="00B97A05"/>
    <w:rsid w:val="00BB4CA8"/>
    <w:rsid w:val="00BB7BCA"/>
    <w:rsid w:val="00BC17CA"/>
    <w:rsid w:val="00BC4BB0"/>
    <w:rsid w:val="00BC7FCC"/>
    <w:rsid w:val="00BE08B6"/>
    <w:rsid w:val="00BE12B3"/>
    <w:rsid w:val="00C01A8B"/>
    <w:rsid w:val="00C02733"/>
    <w:rsid w:val="00C24180"/>
    <w:rsid w:val="00C31BFC"/>
    <w:rsid w:val="00C3344B"/>
    <w:rsid w:val="00C36F9E"/>
    <w:rsid w:val="00C40186"/>
    <w:rsid w:val="00C431E0"/>
    <w:rsid w:val="00C51A12"/>
    <w:rsid w:val="00C550D6"/>
    <w:rsid w:val="00C61E42"/>
    <w:rsid w:val="00C707E9"/>
    <w:rsid w:val="00C72C38"/>
    <w:rsid w:val="00C7388E"/>
    <w:rsid w:val="00C73A1D"/>
    <w:rsid w:val="00C75ED6"/>
    <w:rsid w:val="00C77ED3"/>
    <w:rsid w:val="00C90CA3"/>
    <w:rsid w:val="00C95176"/>
    <w:rsid w:val="00C96B58"/>
    <w:rsid w:val="00CA4908"/>
    <w:rsid w:val="00CA7F12"/>
    <w:rsid w:val="00CB2CC5"/>
    <w:rsid w:val="00CB4675"/>
    <w:rsid w:val="00CB637C"/>
    <w:rsid w:val="00CB6E62"/>
    <w:rsid w:val="00CC02E5"/>
    <w:rsid w:val="00CC138D"/>
    <w:rsid w:val="00CC3EC8"/>
    <w:rsid w:val="00CC4DAF"/>
    <w:rsid w:val="00CD1257"/>
    <w:rsid w:val="00CD422B"/>
    <w:rsid w:val="00CD4270"/>
    <w:rsid w:val="00CD716F"/>
    <w:rsid w:val="00CD7B70"/>
    <w:rsid w:val="00CE5494"/>
    <w:rsid w:val="00CE6D8A"/>
    <w:rsid w:val="00CF09A2"/>
    <w:rsid w:val="00CF1078"/>
    <w:rsid w:val="00CF1306"/>
    <w:rsid w:val="00CF1566"/>
    <w:rsid w:val="00D06E07"/>
    <w:rsid w:val="00D100C3"/>
    <w:rsid w:val="00D15584"/>
    <w:rsid w:val="00D20A68"/>
    <w:rsid w:val="00D236F6"/>
    <w:rsid w:val="00D24660"/>
    <w:rsid w:val="00D27922"/>
    <w:rsid w:val="00D27DAD"/>
    <w:rsid w:val="00D30762"/>
    <w:rsid w:val="00D31248"/>
    <w:rsid w:val="00D332C2"/>
    <w:rsid w:val="00D376D8"/>
    <w:rsid w:val="00D37BD1"/>
    <w:rsid w:val="00D458F1"/>
    <w:rsid w:val="00D4716C"/>
    <w:rsid w:val="00D503CD"/>
    <w:rsid w:val="00D51FDD"/>
    <w:rsid w:val="00D557BE"/>
    <w:rsid w:val="00D650EA"/>
    <w:rsid w:val="00D65AEE"/>
    <w:rsid w:val="00D71E3A"/>
    <w:rsid w:val="00D73C8B"/>
    <w:rsid w:val="00D75B32"/>
    <w:rsid w:val="00D809DA"/>
    <w:rsid w:val="00D80E2B"/>
    <w:rsid w:val="00D842C1"/>
    <w:rsid w:val="00D8564E"/>
    <w:rsid w:val="00D9613C"/>
    <w:rsid w:val="00D97088"/>
    <w:rsid w:val="00DA46C3"/>
    <w:rsid w:val="00DB08B7"/>
    <w:rsid w:val="00DB3110"/>
    <w:rsid w:val="00DB3662"/>
    <w:rsid w:val="00DC3A7B"/>
    <w:rsid w:val="00DD0C0D"/>
    <w:rsid w:val="00DD15A7"/>
    <w:rsid w:val="00DD4604"/>
    <w:rsid w:val="00DE2B9A"/>
    <w:rsid w:val="00DF2442"/>
    <w:rsid w:val="00DF7A97"/>
    <w:rsid w:val="00E018BF"/>
    <w:rsid w:val="00E03813"/>
    <w:rsid w:val="00E04E58"/>
    <w:rsid w:val="00E04EB7"/>
    <w:rsid w:val="00E04FC9"/>
    <w:rsid w:val="00E06844"/>
    <w:rsid w:val="00E135F7"/>
    <w:rsid w:val="00E1380E"/>
    <w:rsid w:val="00E14B86"/>
    <w:rsid w:val="00E16DA4"/>
    <w:rsid w:val="00E258B9"/>
    <w:rsid w:val="00E25F52"/>
    <w:rsid w:val="00E31B21"/>
    <w:rsid w:val="00E329C5"/>
    <w:rsid w:val="00E32DD9"/>
    <w:rsid w:val="00E35B80"/>
    <w:rsid w:val="00E40F9E"/>
    <w:rsid w:val="00E4509F"/>
    <w:rsid w:val="00E53642"/>
    <w:rsid w:val="00E54924"/>
    <w:rsid w:val="00E55F0E"/>
    <w:rsid w:val="00E60DB3"/>
    <w:rsid w:val="00E6267F"/>
    <w:rsid w:val="00E70760"/>
    <w:rsid w:val="00E70AE8"/>
    <w:rsid w:val="00E70B15"/>
    <w:rsid w:val="00E734A5"/>
    <w:rsid w:val="00E7388B"/>
    <w:rsid w:val="00E76498"/>
    <w:rsid w:val="00E8132E"/>
    <w:rsid w:val="00E865BC"/>
    <w:rsid w:val="00E93988"/>
    <w:rsid w:val="00E9400A"/>
    <w:rsid w:val="00E94B16"/>
    <w:rsid w:val="00EA07BC"/>
    <w:rsid w:val="00EB02C0"/>
    <w:rsid w:val="00EB6584"/>
    <w:rsid w:val="00EB6E7E"/>
    <w:rsid w:val="00EC0508"/>
    <w:rsid w:val="00EC0753"/>
    <w:rsid w:val="00EC2E4E"/>
    <w:rsid w:val="00EC6261"/>
    <w:rsid w:val="00EC6382"/>
    <w:rsid w:val="00EC78D3"/>
    <w:rsid w:val="00ED4044"/>
    <w:rsid w:val="00ED5B2C"/>
    <w:rsid w:val="00ED728E"/>
    <w:rsid w:val="00EE655C"/>
    <w:rsid w:val="00EF34CC"/>
    <w:rsid w:val="00EF3CA2"/>
    <w:rsid w:val="00EF4718"/>
    <w:rsid w:val="00F04837"/>
    <w:rsid w:val="00F048BF"/>
    <w:rsid w:val="00F142CC"/>
    <w:rsid w:val="00F250D6"/>
    <w:rsid w:val="00F25EDB"/>
    <w:rsid w:val="00F305B2"/>
    <w:rsid w:val="00F30E0E"/>
    <w:rsid w:val="00F310D4"/>
    <w:rsid w:val="00F35136"/>
    <w:rsid w:val="00F4593C"/>
    <w:rsid w:val="00F53649"/>
    <w:rsid w:val="00F55E43"/>
    <w:rsid w:val="00F56CE2"/>
    <w:rsid w:val="00F60244"/>
    <w:rsid w:val="00F61711"/>
    <w:rsid w:val="00F61D9A"/>
    <w:rsid w:val="00F77019"/>
    <w:rsid w:val="00F77D2B"/>
    <w:rsid w:val="00F77E6E"/>
    <w:rsid w:val="00F80FC3"/>
    <w:rsid w:val="00F81070"/>
    <w:rsid w:val="00F826D3"/>
    <w:rsid w:val="00F83C88"/>
    <w:rsid w:val="00F850D4"/>
    <w:rsid w:val="00F853CF"/>
    <w:rsid w:val="00F926BE"/>
    <w:rsid w:val="00FA0DF1"/>
    <w:rsid w:val="00FB3634"/>
    <w:rsid w:val="00FB78B4"/>
    <w:rsid w:val="00FC18AA"/>
    <w:rsid w:val="00FC5D6D"/>
    <w:rsid w:val="00FC6CAF"/>
    <w:rsid w:val="00FD134D"/>
    <w:rsid w:val="00FD3B53"/>
    <w:rsid w:val="00FD79D4"/>
    <w:rsid w:val="00FE35F6"/>
    <w:rsid w:val="00FE43FA"/>
    <w:rsid w:val="00FF09B3"/>
    <w:rsid w:val="00FF2CA9"/>
    <w:rsid w:val="00FF50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38F5"/>
  <w15:chartTrackingRefBased/>
  <w15:docId w15:val="{62CB6202-1FF5-4DC2-A666-11DB08D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B19"/>
    <w:pPr>
      <w:spacing w:after="0" w:line="240" w:lineRule="auto"/>
    </w:pPr>
  </w:style>
  <w:style w:type="table" w:styleId="TableGrid">
    <w:name w:val="Table Grid"/>
    <w:basedOn w:val="TableNormal"/>
    <w:uiPriority w:val="39"/>
    <w:rsid w:val="0038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B19"/>
    <w:rPr>
      <w:color w:val="0563C1" w:themeColor="hyperlink"/>
      <w:u w:val="single"/>
    </w:rPr>
  </w:style>
  <w:style w:type="character" w:styleId="CommentReference">
    <w:name w:val="annotation reference"/>
    <w:basedOn w:val="DefaultParagraphFont"/>
    <w:uiPriority w:val="99"/>
    <w:semiHidden/>
    <w:unhideWhenUsed/>
    <w:rsid w:val="00383B19"/>
    <w:rPr>
      <w:sz w:val="16"/>
      <w:szCs w:val="16"/>
    </w:rPr>
  </w:style>
  <w:style w:type="paragraph" w:styleId="CommentText">
    <w:name w:val="annotation text"/>
    <w:basedOn w:val="Normal"/>
    <w:link w:val="CommentTextChar"/>
    <w:uiPriority w:val="99"/>
    <w:unhideWhenUsed/>
    <w:rsid w:val="00383B19"/>
    <w:pPr>
      <w:spacing w:line="240" w:lineRule="auto"/>
    </w:pPr>
    <w:rPr>
      <w:sz w:val="20"/>
      <w:szCs w:val="20"/>
    </w:rPr>
  </w:style>
  <w:style w:type="character" w:customStyle="1" w:styleId="CommentTextChar">
    <w:name w:val="Comment Text Char"/>
    <w:basedOn w:val="DefaultParagraphFont"/>
    <w:link w:val="CommentText"/>
    <w:uiPriority w:val="99"/>
    <w:rsid w:val="00383B19"/>
    <w:rPr>
      <w:sz w:val="20"/>
      <w:szCs w:val="20"/>
    </w:rPr>
  </w:style>
  <w:style w:type="paragraph" w:styleId="BalloonText">
    <w:name w:val="Balloon Text"/>
    <w:basedOn w:val="Normal"/>
    <w:link w:val="BalloonTextChar"/>
    <w:uiPriority w:val="99"/>
    <w:semiHidden/>
    <w:unhideWhenUsed/>
    <w:rsid w:val="0038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2695"/>
    <w:rPr>
      <w:b/>
      <w:bCs/>
    </w:rPr>
  </w:style>
  <w:style w:type="character" w:customStyle="1" w:styleId="CommentSubjectChar">
    <w:name w:val="Comment Subject Char"/>
    <w:basedOn w:val="CommentTextChar"/>
    <w:link w:val="CommentSubject"/>
    <w:uiPriority w:val="99"/>
    <w:semiHidden/>
    <w:rsid w:val="00882695"/>
    <w:rPr>
      <w:b/>
      <w:bCs/>
      <w:sz w:val="20"/>
      <w:szCs w:val="20"/>
    </w:rPr>
  </w:style>
  <w:style w:type="character" w:styleId="FollowedHyperlink">
    <w:name w:val="FollowedHyperlink"/>
    <w:basedOn w:val="DefaultParagraphFont"/>
    <w:uiPriority w:val="99"/>
    <w:semiHidden/>
    <w:unhideWhenUsed/>
    <w:rsid w:val="0062629B"/>
    <w:rPr>
      <w:color w:val="954F72" w:themeColor="followedHyperlink"/>
      <w:u w:val="single"/>
    </w:rPr>
  </w:style>
  <w:style w:type="paragraph" w:styleId="ListParagraph">
    <w:name w:val="List Paragraph"/>
    <w:basedOn w:val="Normal"/>
    <w:uiPriority w:val="34"/>
    <w:qFormat/>
    <w:rsid w:val="00330D3C"/>
    <w:pPr>
      <w:ind w:left="720"/>
      <w:contextualSpacing/>
    </w:pPr>
  </w:style>
  <w:style w:type="paragraph" w:styleId="Header">
    <w:name w:val="header"/>
    <w:basedOn w:val="Normal"/>
    <w:link w:val="HeaderChar"/>
    <w:uiPriority w:val="99"/>
    <w:unhideWhenUsed/>
    <w:rsid w:val="00B82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99"/>
  </w:style>
  <w:style w:type="paragraph" w:styleId="Footer">
    <w:name w:val="footer"/>
    <w:basedOn w:val="Normal"/>
    <w:link w:val="FooterChar"/>
    <w:uiPriority w:val="99"/>
    <w:unhideWhenUsed/>
    <w:rsid w:val="00B82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99"/>
  </w:style>
  <w:style w:type="paragraph" w:styleId="Revision">
    <w:name w:val="Revision"/>
    <w:hidden/>
    <w:uiPriority w:val="99"/>
    <w:semiHidden/>
    <w:rsid w:val="00E86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int/trade/glossary/story028/en/" TargetMode="External"/><Relationship Id="rId21" Type="http://schemas.openxmlformats.org/officeDocument/2006/relationships/hyperlink" Target="http://www.ifpri.org/key-weai-publications" TargetMode="External"/><Relationship Id="rId42" Type="http://schemas.openxmlformats.org/officeDocument/2006/relationships/hyperlink" Target="http://www.fantaproject.org/monitoring-and-evaluation/mahfp" TargetMode="External"/><Relationship Id="rId47" Type="http://schemas.openxmlformats.org/officeDocument/2006/relationships/hyperlink" Target="http://www.fantaproject.org/sites/default/files/resources/Introduce-MDD-W-indicator-brief-Sep2014.pdf" TargetMode="External"/><Relationship Id="rId63" Type="http://schemas.openxmlformats.org/officeDocument/2006/relationships/hyperlink" Target="http://www.fao.org/3/a-i3325e.pdf" TargetMode="External"/><Relationship Id="rId68" Type="http://schemas.openxmlformats.org/officeDocument/2006/relationships/hyperlink" Target="http://unesdoc.unesco.org/images/0023/002345/234513E.pdf" TargetMode="External"/><Relationship Id="rId2" Type="http://schemas.openxmlformats.org/officeDocument/2006/relationships/numbering" Target="numbering.xml"/><Relationship Id="rId16" Type="http://schemas.openxmlformats.org/officeDocument/2006/relationships/hyperlink" Target="http://www.agmrc.org/business_development/getting_prepared/valueadded_agriculture/articles/adding-value/" TargetMode="External"/><Relationship Id="rId29" Type="http://schemas.openxmlformats.org/officeDocument/2006/relationships/hyperlink" Target="http://documents.wfp.org/stellent/groups/public/documents/manual_guide_proced/wfp243771.pdf" TargetMode="External"/><Relationship Id="rId11" Type="http://schemas.openxmlformats.org/officeDocument/2006/relationships/hyperlink" Target="http://feedthefuture.gov/sites/default/files/resource/files/ftf_handbook_indicators_october2014.pdf" TargetMode="External"/><Relationship Id="rId24" Type="http://schemas.openxmlformats.org/officeDocument/2006/relationships/hyperlink" Target="http://www.who.int/trade/glossary/story028/en/" TargetMode="External"/><Relationship Id="rId32" Type="http://schemas.openxmlformats.org/officeDocument/2006/relationships/hyperlink" Target="http://documents.wfp.org/stellent/groups/public/documents/manual_guide_proced/wfp243771.pdf" TargetMode="External"/><Relationship Id="rId37" Type="http://schemas.openxmlformats.org/officeDocument/2006/relationships/hyperlink" Target="http://www.fantaproject.org/monitoring-and-evaluation/iycf-indicators" TargetMode="External"/><Relationship Id="rId40" Type="http://schemas.openxmlformats.org/officeDocument/2006/relationships/hyperlink" Target="http://apps.who.int/iris/bitstream/10665/44306/1/9789241599290_eng.pdf" TargetMode="External"/><Relationship Id="rId45" Type="http://schemas.openxmlformats.org/officeDocument/2006/relationships/hyperlink" Target="http://feedthefuture.gov/sites/default/files/resource/files/ftf_handbook_indicators_october2014.pdf" TargetMode="External"/><Relationship Id="rId53" Type="http://schemas.openxmlformats.org/officeDocument/2006/relationships/hyperlink" Target="http://www.ifad.org/ruralfinance/dt/full/dt_e_web.pdf" TargetMode="External"/><Relationship Id="rId58" Type="http://schemas.openxmlformats.org/officeDocument/2006/relationships/hyperlink" Target="http://www.oecd.org/dac/dac-glossary.htm" TargetMode="External"/><Relationship Id="rId66" Type="http://schemas.openxmlformats.org/officeDocument/2006/relationships/hyperlink" Target="http://aims.fao.org/skosmos/agrovoc/en/page/c_6210" TargetMode="External"/><Relationship Id="rId5" Type="http://schemas.openxmlformats.org/officeDocument/2006/relationships/webSettings" Target="webSettings.xml"/><Relationship Id="rId61" Type="http://schemas.openxmlformats.org/officeDocument/2006/relationships/hyperlink" Target="http://www.fao.org/3/a-i3325e.pdf" TargetMode="External"/><Relationship Id="rId19" Type="http://schemas.openxmlformats.org/officeDocument/2006/relationships/hyperlink" Target="http://www.ifpri.org/publication/womens-empowerment-agriculture-index" TargetMode="External"/><Relationship Id="rId14" Type="http://schemas.openxmlformats.org/officeDocument/2006/relationships/hyperlink" Target="http://www.investopedia.com/terms/p/profitmargin.asp" TargetMode="External"/><Relationship Id="rId22" Type="http://schemas.openxmlformats.org/officeDocument/2006/relationships/hyperlink" Target="http://feedthefuture.gov/sites/default/files/resource/files/ftf_handbook_indicators_october2014.pdf" TargetMode="External"/><Relationship Id="rId27" Type="http://schemas.openxmlformats.org/officeDocument/2006/relationships/hyperlink" Target="http://documents.wfp.org/stellent/groups/public/documents/manual_guide_proced/wfp243771.pdf" TargetMode="External"/><Relationship Id="rId30" Type="http://schemas.openxmlformats.org/officeDocument/2006/relationships/hyperlink" Target="http://www.fao.org/fileadmin/templates/ERP/uni/FIMI.pdf" TargetMode="External"/><Relationship Id="rId35" Type="http://schemas.openxmlformats.org/officeDocument/2006/relationships/hyperlink" Target="http://www.fantaproject.org/monitoring-and-evaluation/household-food-insecurity-access-scale-hfias" TargetMode="External"/><Relationship Id="rId43" Type="http://schemas.openxmlformats.org/officeDocument/2006/relationships/hyperlink" Target="http://feedthefuture.gov/sites/default/files/resource/files/ftf_handbook_indicators_october2014.pdf" TargetMode="External"/><Relationship Id="rId48" Type="http://schemas.openxmlformats.org/officeDocument/2006/relationships/hyperlink" Target="http://feedthefuture.gov/sites/default/files/resource/files/ftf_handbook_indicators_october2014.pdf" TargetMode="External"/><Relationship Id="rId56" Type="http://schemas.openxmlformats.org/officeDocument/2006/relationships/hyperlink" Target="http://www.ifad.org/ruralfinance/dt/full/dt_e_web.pdf" TargetMode="External"/><Relationship Id="rId64" Type="http://schemas.openxmlformats.org/officeDocument/2006/relationships/hyperlink" Target="http://www.fao.org/3/a-i3325e.pdf" TargetMode="External"/><Relationship Id="rId69" Type="http://schemas.openxmlformats.org/officeDocument/2006/relationships/hyperlink" Target="http://unesdoc.unesco.org/images/0023/002345/234513E.pdf" TargetMode="External"/><Relationship Id="rId8" Type="http://schemas.openxmlformats.org/officeDocument/2006/relationships/hyperlink" Target="https://agrilinks.org/sites/default/files/resource/files/FTF_Agriculture_Guide_Jan2014.pdf" TargetMode="External"/><Relationship Id="rId51" Type="http://schemas.openxmlformats.org/officeDocument/2006/relationships/hyperlink" Target="http://www.ifad.org/ruralfinance/dt/full/dt_e_web.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grilinks.org/sites/default/files/resource/files/FTF_Agriculture_Guide_Jan2014.pdf" TargetMode="External"/><Relationship Id="rId17" Type="http://schemas.openxmlformats.org/officeDocument/2006/relationships/hyperlink" Target="http://www.agmrc.org/business_development/getting_prepared/valueadded_agriculture/articles/capturing-vs-creating-value/" TargetMode="External"/><Relationship Id="rId25" Type="http://schemas.openxmlformats.org/officeDocument/2006/relationships/hyperlink" Target="http://documents.wfp.org/stellent/groups/public/documents/manual_guide_proced/wfp243771.pdf" TargetMode="External"/><Relationship Id="rId33" Type="http://schemas.openxmlformats.org/officeDocument/2006/relationships/hyperlink" Target="http://www.fantaproject.org/monitoring-and-evaluation/household-dietary-diversity-score" TargetMode="External"/><Relationship Id="rId38" Type="http://schemas.openxmlformats.org/officeDocument/2006/relationships/hyperlink" Target="http://www.unicef.org/progressforchildren/2006n4/malnutritiondefinition.html" TargetMode="External"/><Relationship Id="rId46" Type="http://schemas.openxmlformats.org/officeDocument/2006/relationships/hyperlink" Target="http://www.fao.org/3/a-i1983e.pdf" TargetMode="External"/><Relationship Id="rId59" Type="http://schemas.openxmlformats.org/officeDocument/2006/relationships/hyperlink" Target="http://www.fao.org/3/a-i3325e.pdf" TargetMode="External"/><Relationship Id="rId67" Type="http://schemas.openxmlformats.org/officeDocument/2006/relationships/hyperlink" Target="http://unesdoc.unesco.org/images/0023/002345/234513E.pdf" TargetMode="External"/><Relationship Id="rId20" Type="http://schemas.openxmlformats.org/officeDocument/2006/relationships/hyperlink" Target="https://www.ifpri.org/sites/default/files/Basic%20Page/weai_instructionalguide_1.pdf" TargetMode="External"/><Relationship Id="rId41" Type="http://schemas.openxmlformats.org/officeDocument/2006/relationships/hyperlink" Target="http://feedthefuture.gov/sites/default/files/resource/files/ftf_handbook_indicators_october2014.pdf" TargetMode="External"/><Relationship Id="rId54" Type="http://schemas.openxmlformats.org/officeDocument/2006/relationships/hyperlink" Target="http://www.oecd.org/dac/dac-glossary.htm" TargetMode="External"/><Relationship Id="rId62" Type="http://schemas.openxmlformats.org/officeDocument/2006/relationships/hyperlink" Target="http://feedthefuture.gov/sites/default/files/resource/files/ftf_factsheet_climate_oct2014.pdf" TargetMode="External"/><Relationship Id="rId70" Type="http://schemas.openxmlformats.org/officeDocument/2006/relationships/hyperlink" Target="http://unesdoc.unesco.org/images/0023/002345/234513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grilinks.org/sites/default/files/resource/files/FTF_Agriculture_Guide_Jan2014.pdf" TargetMode="External"/><Relationship Id="rId23" Type="http://schemas.openxmlformats.org/officeDocument/2006/relationships/hyperlink" Target="http://www.fao.org/worldfoodsituation/foodpricesindex/en/" TargetMode="External"/><Relationship Id="rId28" Type="http://schemas.openxmlformats.org/officeDocument/2006/relationships/hyperlink" Target="http://www.who.int/trade/glossary/story028/en/" TargetMode="External"/><Relationship Id="rId36" Type="http://schemas.openxmlformats.org/officeDocument/2006/relationships/hyperlink" Target="http://www.fantaproject.org/sites/default/files/resources/HHS-Indicator-Guide-Aug2011.pdf" TargetMode="External"/><Relationship Id="rId49" Type="http://schemas.openxmlformats.org/officeDocument/2006/relationships/hyperlink" Target="https://agrilinks.org/sites/default/files/resource/files/FTF_Agriculture_Guide_Jan2014.pdf" TargetMode="External"/><Relationship Id="rId57" Type="http://schemas.openxmlformats.org/officeDocument/2006/relationships/hyperlink" Target="http://www.ifad.org/ruralfinance/dt/full/dt_e_web.pdf" TargetMode="External"/><Relationship Id="rId10" Type="http://schemas.openxmlformats.org/officeDocument/2006/relationships/hyperlink" Target="https://agrilinks.org/sites/default/files/resource/files/FTF_Agriculture_Guide_Jan2014.pdf" TargetMode="External"/><Relationship Id="rId31" Type="http://schemas.openxmlformats.org/officeDocument/2006/relationships/hyperlink" Target="http://www.who.int/trade/glossary/story028/en/" TargetMode="External"/><Relationship Id="rId44" Type="http://schemas.openxmlformats.org/officeDocument/2006/relationships/hyperlink" Target="http://feedthefuture.gov/sites/default/files/resource/files/ftf_handbook_indicators_october2014.pdf" TargetMode="External"/><Relationship Id="rId52" Type="http://schemas.openxmlformats.org/officeDocument/2006/relationships/hyperlink" Target="http://www.oecd.org/dac/dac-glossary.htm" TargetMode="External"/><Relationship Id="rId60" Type="http://schemas.openxmlformats.org/officeDocument/2006/relationships/hyperlink" Target="http://aims.fao.org/skosmos/agrovoc/en/page/?uri=http%3A%2F%2Faims.fao.org%2Faos%2Fagrovoc%2Fc_207" TargetMode="External"/><Relationship Id="rId65" Type="http://schemas.openxmlformats.org/officeDocument/2006/relationships/hyperlink" Target="http://www.fao.org/nr/land/sustainable-land-management/e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edthefuture.gov/sites/default/files/resource/files/ftf_handbook_indicators_october2014.pdf" TargetMode="External"/><Relationship Id="rId13" Type="http://schemas.openxmlformats.org/officeDocument/2006/relationships/hyperlink" Target="http://aims.fao.org/skosmos/agrovoc/en/page/c_6210" TargetMode="External"/><Relationship Id="rId18" Type="http://schemas.openxmlformats.org/officeDocument/2006/relationships/hyperlink" Target="https://agrilinks.org/sites/default/files/resource/files/FTF_Agriculture_Guide_Jan2014.pdf" TargetMode="External"/><Relationship Id="rId39" Type="http://schemas.openxmlformats.org/officeDocument/2006/relationships/hyperlink" Target="http://feedthefuture.gov/sites/default/files/resource/files/ftf_handbook_indicators_october2014.pdf" TargetMode="External"/><Relationship Id="rId34" Type="http://schemas.openxmlformats.org/officeDocument/2006/relationships/hyperlink" Target="http://www.fao.org/3/a-i1983e.pdf" TargetMode="External"/><Relationship Id="rId50" Type="http://schemas.openxmlformats.org/officeDocument/2006/relationships/hyperlink" Target="http://www.keepeek.com/Digital-Asset-Management/oecd/economics/oecd-glossary-of-statistical-terms_9789264055087-en" TargetMode="External"/><Relationship Id="rId55" Type="http://schemas.openxmlformats.org/officeDocument/2006/relationships/hyperlink" Target="http://feedthefuture.gov/sites/default/files/resource/files/ftf_handbook_indicators_october2014.pdf"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A455-00F8-4299-BE9E-03B080A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Wendi Bevins</cp:lastModifiedBy>
  <cp:revision>2</cp:revision>
  <dcterms:created xsi:type="dcterms:W3CDTF">2016-06-08T17:25:00Z</dcterms:created>
  <dcterms:modified xsi:type="dcterms:W3CDTF">2016-06-08T17:25:00Z</dcterms:modified>
</cp:coreProperties>
</file>