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445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60"/>
        <w:gridCol w:w="12297"/>
      </w:tblGrid>
      <w:tr w:rsidR="00B72665" w:rsidRPr="00B72665" w14:paraId="256D7626" w14:textId="77777777" w:rsidTr="00AF7AC3">
        <w:trPr>
          <w:trHeight w:val="539"/>
        </w:trPr>
        <w:tc>
          <w:tcPr>
            <w:tcW w:w="14457" w:type="dxa"/>
            <w:gridSpan w:val="2"/>
            <w:shd w:val="clear" w:color="auto" w:fill="A6CE39"/>
            <w:vAlign w:val="center"/>
          </w:tcPr>
          <w:p w14:paraId="7859BB25" w14:textId="3C2F46C7" w:rsidR="00B72665" w:rsidRPr="00B72665" w:rsidRDefault="00B72665" w:rsidP="00590D73">
            <w:pPr>
              <w:jc w:val="center"/>
              <w:rPr>
                <w:b/>
                <w:bCs/>
              </w:rPr>
            </w:pPr>
            <w:r w:rsidRPr="00B72665">
              <w:rPr>
                <w:b/>
                <w:bCs/>
                <w:sz w:val="28"/>
                <w:szCs w:val="28"/>
              </w:rPr>
              <w:t xml:space="preserve">TOOL SUMMARY: </w:t>
            </w:r>
            <w:r w:rsidR="00372200">
              <w:rPr>
                <w:b/>
                <w:bCs/>
                <w:sz w:val="28"/>
                <w:szCs w:val="28"/>
              </w:rPr>
              <w:t>NEEDS</w:t>
            </w:r>
            <w:r w:rsidR="00590D73">
              <w:rPr>
                <w:b/>
                <w:bCs/>
                <w:sz w:val="28"/>
                <w:szCs w:val="28"/>
              </w:rPr>
              <w:t xml:space="preserve"> ASSESSMENT</w:t>
            </w:r>
            <w:r w:rsidR="000E4716">
              <w:rPr>
                <w:b/>
                <w:bCs/>
                <w:sz w:val="28"/>
                <w:szCs w:val="28"/>
              </w:rPr>
              <w:t xml:space="preserve"> PLAN</w:t>
            </w:r>
            <w:r w:rsidR="00372200">
              <w:rPr>
                <w:b/>
                <w:bCs/>
                <w:sz w:val="28"/>
                <w:szCs w:val="28"/>
              </w:rPr>
              <w:t>NING</w:t>
            </w:r>
          </w:p>
        </w:tc>
      </w:tr>
      <w:tr w:rsidR="00B2730A" w:rsidRPr="00B72665" w14:paraId="5AF8B0E9" w14:textId="77777777" w:rsidTr="00AF7AC3">
        <w:trPr>
          <w:trHeight w:val="492"/>
        </w:trPr>
        <w:tc>
          <w:tcPr>
            <w:tcW w:w="2160" w:type="dxa"/>
            <w:shd w:val="clear" w:color="auto" w:fill="404040" w:themeFill="text1" w:themeFillTint="BF"/>
            <w:vAlign w:val="center"/>
          </w:tcPr>
          <w:p w14:paraId="735A6572" w14:textId="77777777" w:rsidR="00B2730A" w:rsidRPr="007E0EAA" w:rsidRDefault="00B2730A" w:rsidP="0085405E">
            <w:pPr>
              <w:rPr>
                <w:rFonts w:ascii="Franklin Gothic Demi" w:hAnsi="Franklin Gothic Demi"/>
                <w:bCs/>
                <w:szCs w:val="24"/>
              </w:rPr>
            </w:pPr>
            <w:bookmarkStart w:id="0" w:name="OLE_LINK1"/>
            <w:r w:rsidRPr="007E0EAA">
              <w:rPr>
                <w:rFonts w:ascii="Franklin Gothic Demi" w:hAnsi="Franklin Gothic Demi"/>
                <w:bCs/>
                <w:color w:val="FFFFFF" w:themeColor="background1"/>
                <w:szCs w:val="24"/>
              </w:rPr>
              <w:t>Purpose</w:t>
            </w:r>
          </w:p>
        </w:tc>
        <w:tc>
          <w:tcPr>
            <w:tcW w:w="12297" w:type="dxa"/>
          </w:tcPr>
          <w:p w14:paraId="58B2B5E3" w14:textId="592E7FC8" w:rsidR="0075332D" w:rsidRPr="00B72665" w:rsidRDefault="00B900CA" w:rsidP="00714A69">
            <w:r>
              <w:t xml:space="preserve">The purpose of this tool is to help the needs assessment team </w:t>
            </w:r>
            <w:r w:rsidR="00576B37">
              <w:t xml:space="preserve">plan </w:t>
            </w:r>
            <w:r>
              <w:t>for the assessment</w:t>
            </w:r>
            <w:r w:rsidR="00714A69">
              <w:t xml:space="preserve"> so that the most relevant data is collected in the most efficient manner. </w:t>
            </w:r>
          </w:p>
        </w:tc>
      </w:tr>
      <w:tr w:rsidR="00B2730A" w:rsidRPr="00B72665" w14:paraId="71F7D61A" w14:textId="77777777" w:rsidTr="00AF7AC3">
        <w:tc>
          <w:tcPr>
            <w:tcW w:w="2160" w:type="dxa"/>
            <w:shd w:val="clear" w:color="auto" w:fill="404040" w:themeFill="text1" w:themeFillTint="BF"/>
            <w:vAlign w:val="center"/>
          </w:tcPr>
          <w:p w14:paraId="11A7C69F" w14:textId="77777777" w:rsidR="00B2730A" w:rsidRPr="007E0EAA" w:rsidRDefault="00B2730A" w:rsidP="0085405E">
            <w:pPr>
              <w:rPr>
                <w:rFonts w:ascii="Franklin Gothic Demi" w:hAnsi="Franklin Gothic Demi"/>
                <w:bCs/>
                <w:szCs w:val="24"/>
              </w:rPr>
            </w:pPr>
            <w:r w:rsidRPr="007E0EAA">
              <w:rPr>
                <w:rFonts w:ascii="Franklin Gothic Demi" w:hAnsi="Franklin Gothic Demi"/>
                <w:bCs/>
                <w:color w:val="FFFFFF" w:themeColor="background1"/>
                <w:szCs w:val="24"/>
              </w:rPr>
              <w:t>Information Sources</w:t>
            </w:r>
          </w:p>
        </w:tc>
        <w:tc>
          <w:tcPr>
            <w:tcW w:w="12297" w:type="dxa"/>
          </w:tcPr>
          <w:p w14:paraId="0DD817B4" w14:textId="580373F2" w:rsidR="00714A69" w:rsidRDefault="00714A69" w:rsidP="00714A69">
            <w:pPr>
              <w:rPr>
                <w:rFonts w:ascii="Calibri" w:eastAsia="Times New Roman" w:hAnsi="Calibri" w:cs="Times New Roman"/>
                <w:color w:val="000000"/>
              </w:rPr>
            </w:pPr>
            <w:r w:rsidRPr="009C1616">
              <w:rPr>
                <w:rFonts w:ascii="Calibri" w:eastAsia="Times New Roman" w:hAnsi="Calibri" w:cs="Times New Roman"/>
                <w:b/>
                <w:color w:val="000000"/>
              </w:rPr>
              <w:t xml:space="preserve">Information </w:t>
            </w:r>
            <w:r w:rsidR="00FA12DD">
              <w:rPr>
                <w:rFonts w:ascii="Calibri" w:eastAsia="Times New Roman" w:hAnsi="Calibri" w:cs="Times New Roman"/>
                <w:b/>
                <w:color w:val="000000"/>
              </w:rPr>
              <w:t xml:space="preserve">that </w:t>
            </w:r>
            <w:r>
              <w:rPr>
                <w:rFonts w:ascii="Calibri" w:eastAsia="Times New Roman" w:hAnsi="Calibri" w:cs="Times New Roman"/>
                <w:b/>
                <w:color w:val="000000"/>
              </w:rPr>
              <w:t>the assessment team should have before planning for the assessment:</w:t>
            </w:r>
          </w:p>
          <w:p w14:paraId="417D10B9" w14:textId="77777777" w:rsidR="004779E0" w:rsidRPr="0075332D" w:rsidRDefault="004779E0" w:rsidP="0075332D">
            <w:pPr>
              <w:pStyle w:val="ListParagraph"/>
              <w:numPr>
                <w:ilvl w:val="0"/>
                <w:numId w:val="22"/>
              </w:numPr>
              <w:rPr>
                <w:rFonts w:cstheme="minorHAnsi"/>
              </w:rPr>
            </w:pPr>
            <w:r w:rsidRPr="0075332D">
              <w:rPr>
                <w:rFonts w:cstheme="minorHAnsi"/>
              </w:rPr>
              <w:t>G</w:t>
            </w:r>
            <w:r w:rsidR="00576B37" w:rsidRPr="0075332D">
              <w:rPr>
                <w:rFonts w:cstheme="minorHAnsi"/>
              </w:rPr>
              <w:t>eographical scope of the target population</w:t>
            </w:r>
          </w:p>
          <w:p w14:paraId="6A502D75" w14:textId="737D5C81" w:rsidR="004779E0" w:rsidRPr="0075332D" w:rsidRDefault="00576B37" w:rsidP="0075332D">
            <w:pPr>
              <w:pStyle w:val="ListParagraph"/>
              <w:numPr>
                <w:ilvl w:val="0"/>
                <w:numId w:val="22"/>
              </w:numPr>
              <w:rPr>
                <w:rFonts w:cstheme="minorHAnsi"/>
              </w:rPr>
            </w:pPr>
            <w:r w:rsidRPr="0075332D">
              <w:rPr>
                <w:rFonts w:cstheme="minorHAnsi"/>
              </w:rPr>
              <w:t>Information on the demographic make-up of the population, including any marginalized groups</w:t>
            </w:r>
          </w:p>
          <w:p w14:paraId="746FE43E" w14:textId="2B52C078" w:rsidR="004779E0" w:rsidRDefault="00576B37" w:rsidP="0075332D">
            <w:pPr>
              <w:pStyle w:val="ListParagraph"/>
              <w:numPr>
                <w:ilvl w:val="0"/>
                <w:numId w:val="22"/>
              </w:numPr>
              <w:rPr>
                <w:rFonts w:cstheme="minorHAnsi"/>
              </w:rPr>
            </w:pPr>
            <w:r w:rsidRPr="0075332D">
              <w:rPr>
                <w:rFonts w:cstheme="minorHAnsi"/>
              </w:rPr>
              <w:t>Core program area models</w:t>
            </w:r>
          </w:p>
          <w:p w14:paraId="7B5B206C" w14:textId="08157DEB" w:rsidR="00A318AE" w:rsidRPr="00714A69" w:rsidRDefault="00576B37" w:rsidP="0075332D">
            <w:pPr>
              <w:pStyle w:val="ListParagraph"/>
              <w:numPr>
                <w:ilvl w:val="0"/>
                <w:numId w:val="22"/>
              </w:numPr>
              <w:rPr>
                <w:rFonts w:cstheme="minorHAnsi"/>
              </w:rPr>
            </w:pPr>
            <w:r w:rsidRPr="0075332D">
              <w:rPr>
                <w:rFonts w:cstheme="minorHAnsi"/>
              </w:rPr>
              <w:t xml:space="preserve">Relevant technical frameworks or approaches (resilience, food security, </w:t>
            </w:r>
            <w:r w:rsidR="004779E0" w:rsidRPr="0075332D">
              <w:rPr>
                <w:rFonts w:cstheme="minorHAnsi"/>
              </w:rPr>
              <w:t>etc.)</w:t>
            </w:r>
          </w:p>
        </w:tc>
      </w:tr>
      <w:tr w:rsidR="00B2730A" w:rsidRPr="00B72665" w14:paraId="424C02DE" w14:textId="77777777" w:rsidTr="00AF7AC3">
        <w:tc>
          <w:tcPr>
            <w:tcW w:w="2160" w:type="dxa"/>
            <w:shd w:val="clear" w:color="auto" w:fill="404040" w:themeFill="text1" w:themeFillTint="BF"/>
            <w:vAlign w:val="center"/>
          </w:tcPr>
          <w:p w14:paraId="4BDDA1D9" w14:textId="4DC3B396" w:rsidR="00B2730A" w:rsidRPr="007E0EAA" w:rsidRDefault="00B2730A" w:rsidP="0085405E">
            <w:pPr>
              <w:rPr>
                <w:rFonts w:ascii="Franklin Gothic Demi" w:hAnsi="Franklin Gothic Demi"/>
                <w:bCs/>
                <w:color w:val="FFFFFF" w:themeColor="background1"/>
                <w:szCs w:val="24"/>
              </w:rPr>
            </w:pPr>
            <w:r w:rsidRPr="007E0EAA">
              <w:rPr>
                <w:rFonts w:ascii="Franklin Gothic Demi" w:hAnsi="Franklin Gothic Demi"/>
                <w:bCs/>
                <w:szCs w:val="24"/>
              </w:rPr>
              <w:br w:type="page"/>
            </w:r>
            <w:r w:rsidRPr="007E0EAA">
              <w:rPr>
                <w:rFonts w:ascii="Franklin Gothic Demi" w:hAnsi="Franklin Gothic Demi"/>
                <w:bCs/>
                <w:color w:val="FFFFFF" w:themeColor="background1"/>
                <w:szCs w:val="24"/>
              </w:rPr>
              <w:t>Who</w:t>
            </w:r>
          </w:p>
        </w:tc>
        <w:tc>
          <w:tcPr>
            <w:tcW w:w="12297" w:type="dxa"/>
          </w:tcPr>
          <w:p w14:paraId="2FEC4CB6" w14:textId="15A46965" w:rsidR="0075332D" w:rsidRDefault="0075332D" w:rsidP="00E7430E">
            <w:pPr>
              <w:rPr>
                <w:rFonts w:eastAsia="Batang" w:cs="Calibri"/>
                <w:lang w:eastAsia="ko-KR"/>
              </w:rPr>
            </w:pPr>
            <w:r>
              <w:rPr>
                <w:rFonts w:eastAsia="Batang" w:cs="Calibri"/>
                <w:lang w:eastAsia="ko-KR"/>
              </w:rPr>
              <w:t>One person from the project design team s</w:t>
            </w:r>
            <w:r w:rsidR="00D217D8">
              <w:rPr>
                <w:rFonts w:eastAsia="Batang" w:cs="Calibri"/>
                <w:lang w:eastAsia="ko-KR"/>
              </w:rPr>
              <w:t xml:space="preserve">hould lead the planning process. </w:t>
            </w:r>
          </w:p>
          <w:p w14:paraId="36B78F87" w14:textId="77777777" w:rsidR="0075332D" w:rsidRDefault="0075332D" w:rsidP="00E7430E">
            <w:pPr>
              <w:rPr>
                <w:rFonts w:eastAsia="Batang" w:cs="Calibri"/>
                <w:lang w:eastAsia="ko-KR"/>
              </w:rPr>
            </w:pPr>
          </w:p>
          <w:p w14:paraId="08EE8AB5" w14:textId="20AE7BF6" w:rsidR="00B2730A" w:rsidRPr="00590D73" w:rsidRDefault="0075332D" w:rsidP="00FA12DD">
            <w:pPr>
              <w:rPr>
                <w:rFonts w:eastAsia="Batang" w:cs="Calibri"/>
                <w:lang w:eastAsia="ko-KR"/>
              </w:rPr>
            </w:pPr>
            <w:r>
              <w:rPr>
                <w:rFonts w:eastAsia="Batang" w:cs="Calibri"/>
                <w:lang w:eastAsia="ko-KR"/>
              </w:rPr>
              <w:t xml:space="preserve">Once planning is completed and tools and methodologies have been developed, </w:t>
            </w:r>
            <w:r w:rsidR="00FA12DD">
              <w:rPr>
                <w:rFonts w:eastAsia="Batang" w:cs="Calibri"/>
                <w:lang w:eastAsia="ko-KR"/>
              </w:rPr>
              <w:t xml:space="preserve">individuals </w:t>
            </w:r>
            <w:r>
              <w:rPr>
                <w:rFonts w:eastAsia="Batang" w:cs="Calibri"/>
                <w:lang w:eastAsia="ko-KR"/>
              </w:rPr>
              <w:t xml:space="preserve">familiar with the use of </w:t>
            </w:r>
            <w:r w:rsidR="00FA12DD">
              <w:rPr>
                <w:rFonts w:eastAsia="Batang" w:cs="Calibri"/>
                <w:lang w:eastAsia="ko-KR"/>
              </w:rPr>
              <w:t>Participatory Rural Appraisal (</w:t>
            </w:r>
            <w:r>
              <w:rPr>
                <w:rFonts w:eastAsia="Batang" w:cs="Calibri"/>
                <w:lang w:eastAsia="ko-KR"/>
              </w:rPr>
              <w:t>PRA</w:t>
            </w:r>
            <w:r w:rsidR="00FA12DD">
              <w:rPr>
                <w:rFonts w:eastAsia="Batang" w:cs="Calibri"/>
                <w:lang w:eastAsia="ko-KR"/>
              </w:rPr>
              <w:t>)</w:t>
            </w:r>
            <w:r>
              <w:rPr>
                <w:rFonts w:eastAsia="Batang" w:cs="Calibri"/>
                <w:lang w:eastAsia="ko-KR"/>
              </w:rPr>
              <w:t xml:space="preserve"> and </w:t>
            </w:r>
            <w:r w:rsidR="00FA12DD">
              <w:rPr>
                <w:rFonts w:eastAsia="Batang" w:cs="Calibri"/>
                <w:lang w:eastAsia="ko-KR"/>
              </w:rPr>
              <w:t>Rapid Rural Appraisal (</w:t>
            </w:r>
            <w:r>
              <w:rPr>
                <w:rFonts w:eastAsia="Batang" w:cs="Calibri"/>
                <w:lang w:eastAsia="ko-KR"/>
              </w:rPr>
              <w:t>RRA</w:t>
            </w:r>
            <w:r w:rsidR="00FA12DD">
              <w:rPr>
                <w:rFonts w:eastAsia="Batang" w:cs="Calibri"/>
                <w:lang w:eastAsia="ko-KR"/>
              </w:rPr>
              <w:t>)</w:t>
            </w:r>
            <w:r>
              <w:rPr>
                <w:rFonts w:eastAsia="Batang" w:cs="Calibri"/>
                <w:lang w:eastAsia="ko-KR"/>
              </w:rPr>
              <w:t xml:space="preserve"> methods should be assigned to gather the necessary data. </w:t>
            </w:r>
          </w:p>
        </w:tc>
      </w:tr>
      <w:tr w:rsidR="00B2730A" w:rsidRPr="00B72665" w14:paraId="15DC2B5D" w14:textId="77777777" w:rsidTr="00B23C84">
        <w:tc>
          <w:tcPr>
            <w:tcW w:w="2160" w:type="dxa"/>
            <w:shd w:val="clear" w:color="auto" w:fill="404040" w:themeFill="text1" w:themeFillTint="BF"/>
            <w:vAlign w:val="center"/>
          </w:tcPr>
          <w:p w14:paraId="7916D291" w14:textId="77777777" w:rsidR="00B2730A" w:rsidRPr="007E0EAA" w:rsidRDefault="00B2730A" w:rsidP="0085405E">
            <w:pPr>
              <w:rPr>
                <w:rFonts w:ascii="Franklin Gothic Demi" w:hAnsi="Franklin Gothic Demi"/>
                <w:bCs/>
                <w:color w:val="FFFFFF" w:themeColor="background1"/>
                <w:szCs w:val="24"/>
              </w:rPr>
            </w:pPr>
            <w:r w:rsidRPr="007E0EAA">
              <w:rPr>
                <w:rFonts w:ascii="Franklin Gothic Demi" w:hAnsi="Franklin Gothic Demi"/>
                <w:bCs/>
                <w:color w:val="FFFFFF" w:themeColor="background1"/>
                <w:szCs w:val="24"/>
              </w:rPr>
              <w:t>When</w:t>
            </w:r>
          </w:p>
        </w:tc>
        <w:tc>
          <w:tcPr>
            <w:tcW w:w="12297" w:type="dxa"/>
            <w:tcBorders>
              <w:bottom w:val="single" w:sz="12" w:space="0" w:color="auto"/>
            </w:tcBorders>
          </w:tcPr>
          <w:p w14:paraId="31841183" w14:textId="16873134" w:rsidR="0075332D" w:rsidRDefault="00590D73" w:rsidP="001F4FC2">
            <w:pPr>
              <w:rPr>
                <w:rFonts w:cstheme="minorHAnsi"/>
              </w:rPr>
            </w:pPr>
            <w:r>
              <w:rPr>
                <w:rFonts w:cstheme="minorHAnsi"/>
              </w:rPr>
              <w:t xml:space="preserve">The </w:t>
            </w:r>
            <w:r w:rsidR="00FA12DD" w:rsidRPr="002B5184">
              <w:rPr>
                <w:rFonts w:cstheme="minorHAnsi"/>
                <w:b/>
              </w:rPr>
              <w:t>n</w:t>
            </w:r>
            <w:r w:rsidRPr="002B5184">
              <w:rPr>
                <w:rFonts w:cstheme="minorHAnsi"/>
                <w:b/>
              </w:rPr>
              <w:t>eeds</w:t>
            </w:r>
            <w:r w:rsidR="00305103" w:rsidRPr="002B5184">
              <w:rPr>
                <w:rFonts w:cstheme="minorHAnsi"/>
                <w:b/>
              </w:rPr>
              <w:t xml:space="preserve"> </w:t>
            </w:r>
            <w:r w:rsidR="00FA12DD" w:rsidRPr="002B5184">
              <w:rPr>
                <w:rFonts w:cstheme="minorHAnsi"/>
                <w:b/>
              </w:rPr>
              <w:t>a</w:t>
            </w:r>
            <w:r w:rsidR="00305103" w:rsidRPr="002B5184">
              <w:rPr>
                <w:rFonts w:cstheme="minorHAnsi"/>
                <w:b/>
              </w:rPr>
              <w:t>ssessment</w:t>
            </w:r>
            <w:r w:rsidR="00305103">
              <w:rPr>
                <w:rFonts w:cstheme="minorHAnsi"/>
              </w:rPr>
              <w:t xml:space="preserve"> is normally the first step in the project design process. </w:t>
            </w:r>
          </w:p>
          <w:p w14:paraId="143AB2BC" w14:textId="0CBDEDDD" w:rsidR="0075332D" w:rsidRDefault="001E5757" w:rsidP="0075332D">
            <w:pPr>
              <w:pStyle w:val="ListParagraph"/>
              <w:numPr>
                <w:ilvl w:val="0"/>
                <w:numId w:val="24"/>
              </w:numPr>
              <w:rPr>
                <w:rFonts w:cstheme="minorHAnsi"/>
              </w:rPr>
            </w:pPr>
            <w:r w:rsidRPr="0075332D">
              <w:rPr>
                <w:rFonts w:cstheme="minorHAnsi"/>
              </w:rPr>
              <w:t>Informat</w:t>
            </w:r>
            <w:r w:rsidR="0075332D">
              <w:rPr>
                <w:rFonts w:cstheme="minorHAnsi"/>
              </w:rPr>
              <w:t xml:space="preserve">ion gathered is used primarily to help conduct the </w:t>
            </w:r>
            <w:r w:rsidR="00FA12DD">
              <w:rPr>
                <w:rFonts w:cstheme="minorHAnsi"/>
              </w:rPr>
              <w:t>p</w:t>
            </w:r>
            <w:r w:rsidR="0075332D">
              <w:rPr>
                <w:rFonts w:cstheme="minorHAnsi"/>
              </w:rPr>
              <w:t xml:space="preserve">roblem </w:t>
            </w:r>
            <w:r w:rsidR="00FA12DD">
              <w:rPr>
                <w:rFonts w:cstheme="minorHAnsi"/>
              </w:rPr>
              <w:t>a</w:t>
            </w:r>
            <w:r w:rsidR="0075332D">
              <w:rPr>
                <w:rFonts w:cstheme="minorHAnsi"/>
              </w:rPr>
              <w:t>nalysis.</w:t>
            </w:r>
          </w:p>
          <w:p w14:paraId="24ED2A9B" w14:textId="55659B92" w:rsidR="000C3B37" w:rsidRDefault="0075332D" w:rsidP="0075332D">
            <w:pPr>
              <w:pStyle w:val="ListParagraph"/>
              <w:numPr>
                <w:ilvl w:val="0"/>
                <w:numId w:val="24"/>
              </w:numPr>
              <w:rPr>
                <w:rFonts w:cstheme="minorHAnsi"/>
              </w:rPr>
            </w:pPr>
            <w:r>
              <w:rPr>
                <w:rFonts w:cstheme="minorHAnsi"/>
              </w:rPr>
              <w:t xml:space="preserve">It can also be used in other areas of the </w:t>
            </w:r>
            <w:r w:rsidR="00FA12DD">
              <w:rPr>
                <w:rFonts w:cstheme="minorHAnsi"/>
              </w:rPr>
              <w:t>p</w:t>
            </w:r>
            <w:r>
              <w:rPr>
                <w:rFonts w:cstheme="minorHAnsi"/>
              </w:rPr>
              <w:t xml:space="preserve">roject </w:t>
            </w:r>
            <w:r w:rsidR="00FA12DD">
              <w:rPr>
                <w:rFonts w:cstheme="minorHAnsi"/>
              </w:rPr>
              <w:t>p</w:t>
            </w:r>
            <w:r>
              <w:rPr>
                <w:rFonts w:cstheme="minorHAnsi"/>
              </w:rPr>
              <w:t xml:space="preserve">roposal, such as the project background and information on partner or local institution capacity. </w:t>
            </w:r>
          </w:p>
          <w:p w14:paraId="76AC2D9E" w14:textId="77777777" w:rsidR="0075332D" w:rsidRDefault="0075332D" w:rsidP="0075332D">
            <w:pPr>
              <w:rPr>
                <w:rFonts w:cstheme="minorHAnsi"/>
              </w:rPr>
            </w:pPr>
          </w:p>
          <w:p w14:paraId="533E3DF8" w14:textId="19066A83" w:rsidR="0075332D" w:rsidRPr="0075332D" w:rsidRDefault="0075332D" w:rsidP="0075332D">
            <w:pPr>
              <w:rPr>
                <w:rFonts w:cstheme="minorHAnsi"/>
              </w:rPr>
            </w:pPr>
            <w:r>
              <w:rPr>
                <w:rFonts w:cstheme="minorHAnsi"/>
              </w:rPr>
              <w:t xml:space="preserve">A well thought out plan for conducting the needs assessment should be completed before any data collection begins. This will help ensure that only essential data is collected. </w:t>
            </w:r>
          </w:p>
        </w:tc>
      </w:tr>
      <w:tr w:rsidR="005710D0" w:rsidRPr="00B72665" w14:paraId="143F953C" w14:textId="77777777" w:rsidTr="00B23C84">
        <w:tc>
          <w:tcPr>
            <w:tcW w:w="2160" w:type="dxa"/>
            <w:vMerge w:val="restart"/>
            <w:shd w:val="clear" w:color="auto" w:fill="404040" w:themeFill="text1" w:themeFillTint="BF"/>
            <w:vAlign w:val="center"/>
          </w:tcPr>
          <w:p w14:paraId="3A784136" w14:textId="577F8B54" w:rsidR="005710D0" w:rsidRPr="007E0EAA" w:rsidRDefault="005710D0" w:rsidP="0085405E">
            <w:pPr>
              <w:rPr>
                <w:rFonts w:ascii="Franklin Gothic Demi" w:hAnsi="Franklin Gothic Demi"/>
                <w:bCs/>
                <w:color w:val="FFFFFF" w:themeColor="background1"/>
                <w:szCs w:val="24"/>
              </w:rPr>
            </w:pPr>
            <w:r w:rsidRPr="007E0EAA">
              <w:rPr>
                <w:rFonts w:ascii="Franklin Gothic Demi" w:hAnsi="Franklin Gothic Demi"/>
                <w:bCs/>
                <w:color w:val="FFFFFF" w:themeColor="background1"/>
                <w:szCs w:val="24"/>
              </w:rPr>
              <w:t>Requirements</w:t>
            </w:r>
          </w:p>
        </w:tc>
        <w:tc>
          <w:tcPr>
            <w:tcW w:w="12297" w:type="dxa"/>
            <w:tcBorders>
              <w:bottom w:val="nil"/>
            </w:tcBorders>
          </w:tcPr>
          <w:p w14:paraId="677E6A44" w14:textId="540D2FAA" w:rsidR="005710D0" w:rsidRPr="00B23C84" w:rsidRDefault="0052263D" w:rsidP="00590D73">
            <w:pPr>
              <w:rPr>
                <w:rFonts w:cstheme="minorHAnsi"/>
                <w:b/>
              </w:rPr>
            </w:pPr>
            <w:r>
              <w:rPr>
                <w:rFonts w:cstheme="minorHAnsi"/>
                <w:b/>
              </w:rPr>
              <w:t>Requirements</w:t>
            </w:r>
          </w:p>
          <w:p w14:paraId="01577C13" w14:textId="79520EB1" w:rsidR="00D86D50" w:rsidRPr="009478B4" w:rsidRDefault="005C282E" w:rsidP="009478B4">
            <w:pPr>
              <w:pStyle w:val="ListParagraph"/>
              <w:numPr>
                <w:ilvl w:val="0"/>
                <w:numId w:val="25"/>
              </w:numPr>
              <w:rPr>
                <w:rFonts w:ascii="Times New Roman" w:eastAsia="Times New Roman" w:hAnsi="Times New Roman" w:cstheme="minorHAnsi"/>
                <w:sz w:val="20"/>
              </w:rPr>
            </w:pPr>
            <w:r>
              <w:rPr>
                <w:rFonts w:cstheme="minorHAnsi"/>
              </w:rPr>
              <w:t>The plan must outline the resources and time necessary</w:t>
            </w:r>
            <w:r w:rsidR="00D217D8">
              <w:rPr>
                <w:rFonts w:cstheme="minorHAnsi"/>
              </w:rPr>
              <w:t xml:space="preserve"> to collect all </w:t>
            </w:r>
            <w:r>
              <w:rPr>
                <w:rFonts w:cstheme="minorHAnsi"/>
              </w:rPr>
              <w:t xml:space="preserve">the </w:t>
            </w:r>
            <w:r w:rsidR="00D217D8">
              <w:rPr>
                <w:rFonts w:cstheme="minorHAnsi"/>
              </w:rPr>
              <w:t xml:space="preserve">data </w:t>
            </w:r>
            <w:r>
              <w:rPr>
                <w:rFonts w:cstheme="minorHAnsi"/>
              </w:rPr>
              <w:t>needed</w:t>
            </w:r>
            <w:r w:rsidR="00D217D8">
              <w:rPr>
                <w:rFonts w:cstheme="minorHAnsi"/>
              </w:rPr>
              <w:t xml:space="preserve"> to triangulate the answer</w:t>
            </w:r>
            <w:r>
              <w:rPr>
                <w:rFonts w:cstheme="minorHAnsi"/>
              </w:rPr>
              <w:t>s</w:t>
            </w:r>
            <w:r w:rsidR="00D217D8">
              <w:rPr>
                <w:rFonts w:cstheme="minorHAnsi"/>
              </w:rPr>
              <w:t xml:space="preserve"> to the </w:t>
            </w:r>
            <w:r>
              <w:rPr>
                <w:rFonts w:cstheme="minorHAnsi"/>
              </w:rPr>
              <w:t>assessment questions</w:t>
            </w:r>
            <w:r w:rsidR="00D217D8">
              <w:rPr>
                <w:rFonts w:cstheme="minorHAnsi"/>
              </w:rPr>
              <w:t xml:space="preserve">. </w:t>
            </w:r>
          </w:p>
        </w:tc>
      </w:tr>
      <w:tr w:rsidR="005710D0" w:rsidRPr="00B72665" w14:paraId="0C69C619" w14:textId="77777777" w:rsidTr="00B23C84">
        <w:tc>
          <w:tcPr>
            <w:tcW w:w="2160" w:type="dxa"/>
            <w:vMerge/>
            <w:shd w:val="clear" w:color="auto" w:fill="404040" w:themeFill="text1" w:themeFillTint="BF"/>
            <w:vAlign w:val="center"/>
          </w:tcPr>
          <w:p w14:paraId="4DB06E54" w14:textId="77BF9FB9" w:rsidR="005710D0" w:rsidRPr="007E0EAA" w:rsidRDefault="005710D0" w:rsidP="0085405E">
            <w:pPr>
              <w:rPr>
                <w:rFonts w:ascii="Franklin Gothic Demi" w:hAnsi="Franklin Gothic Demi"/>
                <w:bCs/>
                <w:color w:val="FFFFFF" w:themeColor="background1"/>
                <w:szCs w:val="24"/>
              </w:rPr>
            </w:pPr>
          </w:p>
        </w:tc>
        <w:tc>
          <w:tcPr>
            <w:tcW w:w="12297" w:type="dxa"/>
            <w:tcBorders>
              <w:top w:val="nil"/>
            </w:tcBorders>
          </w:tcPr>
          <w:p w14:paraId="4B2FBA4C" w14:textId="745D6284" w:rsidR="005710D0" w:rsidRPr="00B23C84" w:rsidRDefault="0052263D" w:rsidP="00590D73">
            <w:pPr>
              <w:rPr>
                <w:rFonts w:cstheme="minorHAnsi"/>
                <w:b/>
              </w:rPr>
            </w:pPr>
            <w:r>
              <w:rPr>
                <w:rFonts w:cstheme="minorHAnsi"/>
                <w:b/>
              </w:rPr>
              <w:t>Recommendations</w:t>
            </w:r>
          </w:p>
          <w:p w14:paraId="777FC22B" w14:textId="7B48E500" w:rsidR="009478B4" w:rsidRPr="009478B4" w:rsidRDefault="009478B4" w:rsidP="00D86D50">
            <w:pPr>
              <w:pStyle w:val="ListParagraph"/>
              <w:numPr>
                <w:ilvl w:val="0"/>
                <w:numId w:val="26"/>
              </w:numPr>
              <w:rPr>
                <w:rFonts w:ascii="Times New Roman" w:eastAsia="Times New Roman" w:hAnsi="Times New Roman" w:cstheme="minorHAnsi"/>
                <w:sz w:val="20"/>
              </w:rPr>
            </w:pPr>
            <w:r>
              <w:rPr>
                <w:rFonts w:cstheme="minorHAnsi"/>
              </w:rPr>
              <w:t>Filling out the tables in this tool is NOT required, but it is recommended.</w:t>
            </w:r>
          </w:p>
          <w:p w14:paraId="10C1945C" w14:textId="360E06BB" w:rsidR="00D86D50" w:rsidRPr="00D86D50" w:rsidRDefault="00D217D8" w:rsidP="00D86D50">
            <w:pPr>
              <w:pStyle w:val="ListParagraph"/>
              <w:numPr>
                <w:ilvl w:val="0"/>
                <w:numId w:val="26"/>
              </w:numPr>
              <w:rPr>
                <w:rFonts w:ascii="Times New Roman" w:eastAsia="Times New Roman" w:hAnsi="Times New Roman" w:cstheme="minorHAnsi"/>
                <w:sz w:val="20"/>
              </w:rPr>
            </w:pPr>
            <w:r>
              <w:rPr>
                <w:rFonts w:eastAsia="Batang" w:cs="Calibri"/>
                <w:lang w:eastAsia="ko-KR"/>
              </w:rPr>
              <w:t xml:space="preserve">The plan </w:t>
            </w:r>
            <w:r w:rsidR="00AA5140" w:rsidRPr="00D86D50">
              <w:rPr>
                <w:rFonts w:eastAsia="Batang" w:cs="Calibri"/>
                <w:lang w:eastAsia="ko-KR"/>
              </w:rPr>
              <w:t xml:space="preserve">should consider all relevant subgroups of a target population and should also examine the relationships between these groups. </w:t>
            </w:r>
          </w:p>
          <w:p w14:paraId="446E0A22" w14:textId="77777777" w:rsidR="005710D0" w:rsidRPr="00EF7D65" w:rsidRDefault="00AA5140" w:rsidP="00D86D50">
            <w:pPr>
              <w:pStyle w:val="ListParagraph"/>
              <w:numPr>
                <w:ilvl w:val="1"/>
                <w:numId w:val="26"/>
              </w:numPr>
              <w:rPr>
                <w:rFonts w:ascii="Times New Roman" w:eastAsia="Times New Roman" w:hAnsi="Times New Roman" w:cstheme="minorHAnsi"/>
                <w:sz w:val="20"/>
              </w:rPr>
            </w:pPr>
            <w:r w:rsidRPr="00D86D50">
              <w:rPr>
                <w:rFonts w:eastAsia="Batang" w:cs="Calibri"/>
                <w:lang w:eastAsia="ko-KR"/>
              </w:rPr>
              <w:t>These groups include, but are not limited to, men, women, girls, boys, different socioeconomic groups, different ethnic groups</w:t>
            </w:r>
            <w:r w:rsidR="0075332D" w:rsidRPr="00D86D50">
              <w:rPr>
                <w:rFonts w:eastAsia="Batang" w:cs="Calibri"/>
                <w:lang w:eastAsia="ko-KR"/>
              </w:rPr>
              <w:t xml:space="preserve"> and marginalized groups such as the elderly or disabled</w:t>
            </w:r>
            <w:r w:rsidRPr="00D86D50">
              <w:rPr>
                <w:rFonts w:eastAsia="Batang" w:cs="Calibri"/>
                <w:lang w:eastAsia="ko-KR"/>
              </w:rPr>
              <w:t xml:space="preserve">.  </w:t>
            </w:r>
          </w:p>
          <w:p w14:paraId="04856469" w14:textId="4114FB21" w:rsidR="00EF7D65" w:rsidRPr="00EF7D65" w:rsidRDefault="00EF7D65" w:rsidP="00EF7D65">
            <w:pPr>
              <w:pStyle w:val="ListParagraph"/>
              <w:numPr>
                <w:ilvl w:val="0"/>
                <w:numId w:val="26"/>
              </w:numPr>
              <w:rPr>
                <w:rFonts w:eastAsia="Times New Roman" w:cstheme="minorHAnsi"/>
                <w:sz w:val="20"/>
              </w:rPr>
            </w:pPr>
            <w:r w:rsidRPr="00EF7D65">
              <w:rPr>
                <w:rFonts w:eastAsia="Times New Roman" w:cstheme="minorHAnsi"/>
                <w:szCs w:val="24"/>
              </w:rPr>
              <w:t>If a sampling frame is required, do an estimate of the sample size using a sample size calculator (</w:t>
            </w:r>
            <w:hyperlink r:id="rId9" w:history="1">
              <w:r w:rsidRPr="00142C6C">
                <w:rPr>
                  <w:rStyle w:val="Hyperlink"/>
                  <w:rFonts w:eastAsia="Times New Roman" w:cstheme="minorHAnsi"/>
                  <w:szCs w:val="24"/>
                </w:rPr>
                <w:t>http://goo.gl/atqmr1</w:t>
              </w:r>
            </w:hyperlink>
            <w:r w:rsidRPr="00EF7D65">
              <w:rPr>
                <w:rFonts w:eastAsia="Times New Roman" w:cstheme="minorHAnsi"/>
                <w:szCs w:val="24"/>
              </w:rPr>
              <w:t>). This will help you better budget the number of numerators and days required to collect all necessary data.</w:t>
            </w:r>
          </w:p>
        </w:tc>
      </w:tr>
      <w:tr w:rsidR="00590D73" w:rsidRPr="00B72665" w14:paraId="2FA00DA4" w14:textId="77777777" w:rsidTr="00AF7AC3">
        <w:tc>
          <w:tcPr>
            <w:tcW w:w="2160" w:type="dxa"/>
            <w:shd w:val="clear" w:color="auto" w:fill="404040" w:themeFill="text1" w:themeFillTint="BF"/>
            <w:vAlign w:val="center"/>
          </w:tcPr>
          <w:p w14:paraId="19141BE7" w14:textId="010ACC3B" w:rsidR="00590D73" w:rsidRPr="007E0EAA" w:rsidRDefault="00590D73" w:rsidP="0085405E">
            <w:pPr>
              <w:rPr>
                <w:rFonts w:ascii="Franklin Gothic Demi" w:hAnsi="Franklin Gothic Demi"/>
                <w:bCs/>
                <w:color w:val="FFFFFF" w:themeColor="background1"/>
                <w:szCs w:val="24"/>
              </w:rPr>
            </w:pPr>
            <w:r w:rsidRPr="007E0EAA">
              <w:rPr>
                <w:rFonts w:ascii="Franklin Gothic Demi" w:hAnsi="Franklin Gothic Demi"/>
                <w:bCs/>
                <w:color w:val="FFFFFF" w:themeColor="background1"/>
                <w:szCs w:val="24"/>
              </w:rPr>
              <w:t>Tips</w:t>
            </w:r>
          </w:p>
        </w:tc>
        <w:tc>
          <w:tcPr>
            <w:tcW w:w="12297" w:type="dxa"/>
          </w:tcPr>
          <w:p w14:paraId="61A5EEBF" w14:textId="29D1B677" w:rsidR="00EA53FD" w:rsidRDefault="00D86D50" w:rsidP="00EA53FD">
            <w:pPr>
              <w:pStyle w:val="ListParagraph"/>
              <w:numPr>
                <w:ilvl w:val="0"/>
                <w:numId w:val="28"/>
              </w:numPr>
              <w:rPr>
                <w:rFonts w:cstheme="minorHAnsi"/>
              </w:rPr>
            </w:pPr>
            <w:r>
              <w:rPr>
                <w:rFonts w:cstheme="minorHAnsi"/>
              </w:rPr>
              <w:t>Use the CRS Guidance on Participatory Assessments</w:t>
            </w:r>
            <w:r w:rsidR="00EA53FD">
              <w:rPr>
                <w:rFonts w:cstheme="minorHAnsi"/>
              </w:rPr>
              <w:t xml:space="preserve"> and </w:t>
            </w:r>
            <w:r w:rsidR="00F14F56">
              <w:rPr>
                <w:rFonts w:cstheme="minorHAnsi"/>
              </w:rPr>
              <w:t xml:space="preserve">Learning for Gender Integration Manual (forthcoming) </w:t>
            </w:r>
            <w:r>
              <w:rPr>
                <w:rFonts w:cstheme="minorHAnsi"/>
              </w:rPr>
              <w:t xml:space="preserve">to help plan </w:t>
            </w:r>
            <w:r w:rsidR="00A00196">
              <w:rPr>
                <w:rFonts w:cstheme="minorHAnsi"/>
              </w:rPr>
              <w:t xml:space="preserve">for </w:t>
            </w:r>
            <w:r>
              <w:rPr>
                <w:rFonts w:cstheme="minorHAnsi"/>
              </w:rPr>
              <w:t xml:space="preserve">needs assessments for </w:t>
            </w:r>
            <w:r w:rsidR="00EA53FD">
              <w:rPr>
                <w:rFonts w:cstheme="minorHAnsi"/>
              </w:rPr>
              <w:t>development projects</w:t>
            </w:r>
            <w:r>
              <w:rPr>
                <w:rFonts w:cstheme="minorHAnsi"/>
              </w:rPr>
              <w:t>.</w:t>
            </w:r>
            <w:r w:rsidR="00EA53FD">
              <w:rPr>
                <w:rFonts w:cstheme="minorHAnsi"/>
              </w:rPr>
              <w:t xml:space="preserve"> </w:t>
            </w:r>
          </w:p>
          <w:p w14:paraId="1138B9C0" w14:textId="17B65FBD" w:rsidR="00CC2C2E" w:rsidRDefault="00EA53FD" w:rsidP="00EA53FD">
            <w:pPr>
              <w:pStyle w:val="ListParagraph"/>
              <w:numPr>
                <w:ilvl w:val="1"/>
                <w:numId w:val="28"/>
              </w:numPr>
              <w:rPr>
                <w:rFonts w:cstheme="minorHAnsi"/>
              </w:rPr>
            </w:pPr>
            <w:r>
              <w:rPr>
                <w:rFonts w:cstheme="minorHAnsi"/>
              </w:rPr>
              <w:lastRenderedPageBreak/>
              <w:t>For assessment in emergency contexts</w:t>
            </w:r>
            <w:r w:rsidR="00FA12DD">
              <w:rPr>
                <w:rFonts w:cstheme="minorHAnsi"/>
              </w:rPr>
              <w:t>,</w:t>
            </w:r>
            <w:r>
              <w:rPr>
                <w:rFonts w:cstheme="minorHAnsi"/>
              </w:rPr>
              <w:t xml:space="preserve"> please contact the LWR E</w:t>
            </w:r>
            <w:r w:rsidR="002B5184">
              <w:rPr>
                <w:rFonts w:cstheme="minorHAnsi"/>
              </w:rPr>
              <w:t xml:space="preserve">mergency </w:t>
            </w:r>
            <w:r>
              <w:rPr>
                <w:rFonts w:cstheme="minorHAnsi"/>
              </w:rPr>
              <w:t>O</w:t>
            </w:r>
            <w:r w:rsidR="002B5184">
              <w:rPr>
                <w:rFonts w:cstheme="minorHAnsi"/>
              </w:rPr>
              <w:t>perations</w:t>
            </w:r>
            <w:r>
              <w:rPr>
                <w:rFonts w:cstheme="minorHAnsi"/>
              </w:rPr>
              <w:t xml:space="preserve"> unit for guidance.</w:t>
            </w:r>
          </w:p>
          <w:p w14:paraId="07383CB8" w14:textId="4A838564" w:rsidR="00D86D50" w:rsidRPr="00EA53FD" w:rsidRDefault="00CC2C2E" w:rsidP="00EA53FD">
            <w:pPr>
              <w:pStyle w:val="ListParagraph"/>
              <w:numPr>
                <w:ilvl w:val="1"/>
                <w:numId w:val="28"/>
              </w:numPr>
              <w:rPr>
                <w:rFonts w:cstheme="minorHAnsi"/>
              </w:rPr>
            </w:pPr>
            <w:r>
              <w:rPr>
                <w:rFonts w:cstheme="minorHAnsi"/>
              </w:rPr>
              <w:t>Visit</w:t>
            </w:r>
            <w:r w:rsidR="00EA53FD">
              <w:rPr>
                <w:rFonts w:cstheme="minorHAnsi"/>
              </w:rPr>
              <w:t xml:space="preserve"> </w:t>
            </w:r>
            <w:hyperlink r:id="rId10" w:history="1">
              <w:r w:rsidRPr="009A3DEE">
                <w:rPr>
                  <w:rStyle w:val="Hyperlink"/>
                  <w:rFonts w:cstheme="minorHAnsi"/>
                </w:rPr>
                <w:t>http://www.needsassessment.org/</w:t>
              </w:r>
            </w:hyperlink>
            <w:r>
              <w:rPr>
                <w:rStyle w:val="Hyperlink"/>
                <w:rFonts w:cstheme="minorHAnsi"/>
                <w:u w:val="none"/>
              </w:rPr>
              <w:t xml:space="preserve"> </w:t>
            </w:r>
            <w:r>
              <w:rPr>
                <w:rStyle w:val="Hyperlink"/>
                <w:rFonts w:cstheme="minorHAnsi"/>
                <w:color w:val="auto"/>
                <w:u w:val="none"/>
              </w:rPr>
              <w:t xml:space="preserve">for </w:t>
            </w:r>
            <w:r w:rsidR="00B31756">
              <w:rPr>
                <w:rStyle w:val="Hyperlink"/>
                <w:rFonts w:cstheme="minorHAnsi"/>
                <w:color w:val="auto"/>
                <w:u w:val="none"/>
              </w:rPr>
              <w:t>additional</w:t>
            </w:r>
            <w:r>
              <w:rPr>
                <w:rStyle w:val="Hyperlink"/>
                <w:rFonts w:cstheme="minorHAnsi"/>
                <w:color w:val="auto"/>
                <w:u w:val="none"/>
              </w:rPr>
              <w:t xml:space="preserve"> resources on needs assessment. </w:t>
            </w:r>
            <w:r w:rsidR="00EA53FD">
              <w:rPr>
                <w:rFonts w:cstheme="minorHAnsi"/>
              </w:rPr>
              <w:t xml:space="preserve"> </w:t>
            </w:r>
          </w:p>
          <w:p w14:paraId="604E862D" w14:textId="7E2A538C" w:rsidR="00D86D50" w:rsidRDefault="00C80A14" w:rsidP="00D86D50">
            <w:pPr>
              <w:pStyle w:val="ListParagraph"/>
              <w:numPr>
                <w:ilvl w:val="0"/>
                <w:numId w:val="28"/>
              </w:numPr>
              <w:rPr>
                <w:rFonts w:cstheme="minorHAnsi"/>
              </w:rPr>
            </w:pPr>
            <w:r>
              <w:rPr>
                <w:rFonts w:cstheme="minorHAnsi"/>
              </w:rPr>
              <w:t xml:space="preserve">The </w:t>
            </w:r>
            <w:r w:rsidRPr="002B5184">
              <w:rPr>
                <w:rFonts w:cstheme="minorHAnsi"/>
                <w:u w:val="single"/>
              </w:rPr>
              <w:t>Needs A</w:t>
            </w:r>
            <w:r w:rsidR="0001029A" w:rsidRPr="002B5184">
              <w:rPr>
                <w:rFonts w:cstheme="minorHAnsi"/>
                <w:u w:val="single"/>
              </w:rPr>
              <w:t>ssessments</w:t>
            </w:r>
            <w:r w:rsidR="0001029A" w:rsidRPr="00B31756">
              <w:rPr>
                <w:rFonts w:cstheme="minorHAnsi"/>
              </w:rPr>
              <w:t xml:space="preserve">, </w:t>
            </w:r>
            <w:r w:rsidRPr="002B5184">
              <w:rPr>
                <w:rFonts w:cstheme="minorHAnsi"/>
                <w:u w:val="single"/>
              </w:rPr>
              <w:t>Problem A</w:t>
            </w:r>
            <w:r w:rsidR="00D86D50" w:rsidRPr="002B5184">
              <w:rPr>
                <w:rFonts w:cstheme="minorHAnsi"/>
                <w:u w:val="single"/>
              </w:rPr>
              <w:t>nalysis</w:t>
            </w:r>
            <w:r w:rsidR="00D86D50" w:rsidRPr="00D86D50">
              <w:rPr>
                <w:rFonts w:cstheme="minorHAnsi"/>
              </w:rPr>
              <w:t xml:space="preserve"> and gender constraints analysis can overlap. </w:t>
            </w:r>
          </w:p>
          <w:p w14:paraId="26796E21" w14:textId="38D40EE1" w:rsidR="00590D73" w:rsidRDefault="00D86D50" w:rsidP="0001029A">
            <w:pPr>
              <w:pStyle w:val="ListParagraph"/>
              <w:numPr>
                <w:ilvl w:val="1"/>
                <w:numId w:val="28"/>
              </w:numPr>
              <w:rPr>
                <w:rFonts w:cstheme="minorHAnsi"/>
              </w:rPr>
            </w:pPr>
            <w:r w:rsidRPr="00D86D50">
              <w:rPr>
                <w:rFonts w:cstheme="minorHAnsi"/>
              </w:rPr>
              <w:t>Your data</w:t>
            </w:r>
            <w:r w:rsidR="0001029A">
              <w:rPr>
                <w:rFonts w:cstheme="minorHAnsi"/>
              </w:rPr>
              <w:t xml:space="preserve"> collected </w:t>
            </w:r>
            <w:r w:rsidR="00B31756">
              <w:rPr>
                <w:rFonts w:cstheme="minorHAnsi"/>
              </w:rPr>
              <w:t xml:space="preserve">in the first round </w:t>
            </w:r>
            <w:r w:rsidR="0001029A">
              <w:rPr>
                <w:rFonts w:cstheme="minorHAnsi"/>
              </w:rPr>
              <w:t>can be used to complete a first draft of the problem analysis. When conducting the problem analysis some causes may be unclear</w:t>
            </w:r>
            <w:r w:rsidR="00B31756">
              <w:rPr>
                <w:rFonts w:cstheme="minorHAnsi"/>
              </w:rPr>
              <w:t>,</w:t>
            </w:r>
            <w:r w:rsidR="0001029A">
              <w:rPr>
                <w:rFonts w:cstheme="minorHAnsi"/>
              </w:rPr>
              <w:t xml:space="preserve"> in which case you </w:t>
            </w:r>
            <w:r w:rsidRPr="00D86D50">
              <w:rPr>
                <w:rFonts w:cstheme="minorHAnsi"/>
              </w:rPr>
              <w:t xml:space="preserve">may </w:t>
            </w:r>
            <w:r w:rsidR="0001029A">
              <w:rPr>
                <w:rFonts w:cstheme="minorHAnsi"/>
              </w:rPr>
              <w:t>n</w:t>
            </w:r>
            <w:r w:rsidRPr="00D86D50">
              <w:rPr>
                <w:rFonts w:cstheme="minorHAnsi"/>
              </w:rPr>
              <w:t>eed to c</w:t>
            </w:r>
            <w:r w:rsidR="0001029A">
              <w:rPr>
                <w:rFonts w:cstheme="minorHAnsi"/>
              </w:rPr>
              <w:t>ollect more information</w:t>
            </w:r>
            <w:r w:rsidRPr="00D86D50">
              <w:rPr>
                <w:rFonts w:cstheme="minorHAnsi"/>
              </w:rPr>
              <w:t xml:space="preserve">. </w:t>
            </w:r>
          </w:p>
          <w:p w14:paraId="692704A7" w14:textId="3A4BB2AB" w:rsidR="00B1074B" w:rsidRPr="00B1074B" w:rsidRDefault="00B1074B" w:rsidP="00B1074B">
            <w:pPr>
              <w:pStyle w:val="ListParagraph"/>
              <w:numPr>
                <w:ilvl w:val="0"/>
                <w:numId w:val="28"/>
              </w:numPr>
              <w:rPr>
                <w:rFonts w:cstheme="minorHAnsi"/>
              </w:rPr>
            </w:pPr>
            <w:r w:rsidRPr="00B1074B">
              <w:rPr>
                <w:rFonts w:cstheme="minorHAnsi"/>
              </w:rPr>
              <w:t>There are two main reasons for conducting separate interviews, group interviews and focus group discussions with men and women:</w:t>
            </w:r>
          </w:p>
          <w:p w14:paraId="18EA679E" w14:textId="77777777" w:rsidR="00B1074B" w:rsidRPr="00B1074B" w:rsidRDefault="00B1074B" w:rsidP="00B1074B">
            <w:pPr>
              <w:pStyle w:val="ListParagraph"/>
              <w:numPr>
                <w:ilvl w:val="1"/>
                <w:numId w:val="28"/>
              </w:numPr>
              <w:rPr>
                <w:rFonts w:cstheme="minorHAnsi"/>
              </w:rPr>
            </w:pPr>
            <w:r w:rsidRPr="00B1074B">
              <w:rPr>
                <w:rFonts w:cstheme="minorHAnsi"/>
              </w:rPr>
              <w:t xml:space="preserve">When you want to be able to compare the different responses from men and women. If you want to understand the different constraints men and women face in participating in training, it is helpful to interview men and women separately and then compare their responses. </w:t>
            </w:r>
          </w:p>
          <w:p w14:paraId="7395CFEB" w14:textId="77777777" w:rsidR="00B1074B" w:rsidRPr="00B1074B" w:rsidRDefault="00B1074B" w:rsidP="00B1074B">
            <w:pPr>
              <w:pStyle w:val="ListParagraph"/>
              <w:numPr>
                <w:ilvl w:val="1"/>
                <w:numId w:val="28"/>
              </w:numPr>
              <w:rPr>
                <w:rFonts w:cstheme="minorHAnsi"/>
              </w:rPr>
            </w:pPr>
            <w:r w:rsidRPr="00B1074B">
              <w:rPr>
                <w:rFonts w:cstheme="minorHAnsi"/>
              </w:rPr>
              <w:t xml:space="preserve">When social norms restrict men and women from being in the same room or expressing themselves in front of each other. </w:t>
            </w:r>
          </w:p>
          <w:p w14:paraId="55565B10" w14:textId="0512174D" w:rsidR="00B1074B" w:rsidRPr="00B1074B" w:rsidRDefault="00B1074B" w:rsidP="00B1074B">
            <w:pPr>
              <w:pStyle w:val="ListParagraph"/>
              <w:numPr>
                <w:ilvl w:val="0"/>
                <w:numId w:val="28"/>
              </w:numPr>
              <w:rPr>
                <w:rFonts w:cstheme="minorHAnsi"/>
              </w:rPr>
            </w:pPr>
            <w:r w:rsidRPr="00B1074B">
              <w:rPr>
                <w:rFonts w:cstheme="minorHAnsi"/>
              </w:rPr>
              <w:t>It may be necessary to consider further disaggregation of groups based on other characteristics, like age or ethnic</w:t>
            </w:r>
            <w:r w:rsidR="00B31756">
              <w:rPr>
                <w:rFonts w:cstheme="minorHAnsi"/>
              </w:rPr>
              <w:t>ity</w:t>
            </w:r>
            <w:r w:rsidRPr="00B1074B">
              <w:rPr>
                <w:rFonts w:cstheme="minorHAnsi"/>
              </w:rPr>
              <w:t xml:space="preserve">. </w:t>
            </w:r>
          </w:p>
          <w:p w14:paraId="6CF055D8" w14:textId="77777777" w:rsidR="00B1074B" w:rsidRPr="00B1074B" w:rsidRDefault="00B1074B" w:rsidP="00B1074B">
            <w:pPr>
              <w:pStyle w:val="ListParagraph"/>
              <w:numPr>
                <w:ilvl w:val="0"/>
                <w:numId w:val="28"/>
              </w:numPr>
              <w:rPr>
                <w:rFonts w:cstheme="minorHAnsi"/>
              </w:rPr>
            </w:pPr>
            <w:r w:rsidRPr="00B1074B">
              <w:rPr>
                <w:rFonts w:cstheme="minorHAnsi"/>
              </w:rPr>
              <w:t>It is not necessary to use every tool with men and women in separate groups. For example, general information about the composition of communities or the composition of producer groups can be gathered from mixed groups or official records.</w:t>
            </w:r>
          </w:p>
          <w:p w14:paraId="5B1A21EC" w14:textId="77777777" w:rsidR="00B1074B" w:rsidRPr="00B1074B" w:rsidRDefault="00B1074B" w:rsidP="00B1074B">
            <w:pPr>
              <w:pStyle w:val="ListParagraph"/>
              <w:numPr>
                <w:ilvl w:val="0"/>
                <w:numId w:val="28"/>
              </w:numPr>
              <w:rPr>
                <w:rFonts w:cstheme="minorHAnsi"/>
              </w:rPr>
            </w:pPr>
            <w:r w:rsidRPr="00B1074B">
              <w:rPr>
                <w:rFonts w:cstheme="minorHAnsi"/>
              </w:rPr>
              <w:t xml:space="preserve">Do not confuse information about women-headed households with information about individual women. </w:t>
            </w:r>
          </w:p>
          <w:p w14:paraId="337F244B" w14:textId="0BAD7F81" w:rsidR="00B1074B" w:rsidRPr="00B1074B" w:rsidRDefault="00B1074B" w:rsidP="00B31756">
            <w:pPr>
              <w:rPr>
                <w:rFonts w:cstheme="minorHAnsi"/>
              </w:rPr>
            </w:pPr>
            <w:r w:rsidRPr="00B1074B">
              <w:rPr>
                <w:rFonts w:cstheme="minorHAnsi"/>
              </w:rPr>
              <w:t xml:space="preserve">*From CRS NA Guide, </w:t>
            </w:r>
            <w:r w:rsidR="00B31756">
              <w:rPr>
                <w:rFonts w:cstheme="minorHAnsi"/>
              </w:rPr>
              <w:t>pg</w:t>
            </w:r>
            <w:r w:rsidRPr="00B1074B">
              <w:rPr>
                <w:rFonts w:cstheme="minorHAnsi"/>
              </w:rPr>
              <w:t>.6</w:t>
            </w:r>
          </w:p>
        </w:tc>
      </w:tr>
      <w:tr w:rsidR="005710D0" w:rsidRPr="00B72665" w14:paraId="34352780" w14:textId="77777777" w:rsidTr="006254DB">
        <w:trPr>
          <w:trHeight w:val="3770"/>
        </w:trPr>
        <w:tc>
          <w:tcPr>
            <w:tcW w:w="2160" w:type="dxa"/>
            <w:shd w:val="clear" w:color="auto" w:fill="404040" w:themeFill="text1" w:themeFillTint="BF"/>
            <w:vAlign w:val="center"/>
          </w:tcPr>
          <w:p w14:paraId="5C3BF4FB" w14:textId="70A2F7A8" w:rsidR="005710D0" w:rsidRPr="007E0EAA" w:rsidRDefault="007B01AD" w:rsidP="007B01AD">
            <w:pPr>
              <w:rPr>
                <w:rFonts w:ascii="Franklin Gothic Demi" w:hAnsi="Franklin Gothic Demi"/>
                <w:bCs/>
                <w:color w:val="FFFFFF" w:themeColor="background1"/>
                <w:szCs w:val="24"/>
              </w:rPr>
            </w:pPr>
            <w:r>
              <w:rPr>
                <w:rFonts w:ascii="Franklin Gothic Demi" w:hAnsi="Franklin Gothic Demi"/>
                <w:bCs/>
                <w:color w:val="FFFFFF" w:themeColor="background1"/>
                <w:szCs w:val="24"/>
              </w:rPr>
              <w:lastRenderedPageBreak/>
              <w:t xml:space="preserve">How to Address </w:t>
            </w:r>
            <w:r w:rsidR="005710D0" w:rsidRPr="007E0EAA">
              <w:rPr>
                <w:rFonts w:ascii="Franklin Gothic Demi" w:hAnsi="Franklin Gothic Demi"/>
                <w:bCs/>
                <w:color w:val="FFFFFF" w:themeColor="background1"/>
                <w:szCs w:val="24"/>
              </w:rPr>
              <w:t xml:space="preserve">Gender </w:t>
            </w:r>
            <w:r>
              <w:rPr>
                <w:rFonts w:ascii="Franklin Gothic Demi" w:hAnsi="Franklin Gothic Demi"/>
                <w:bCs/>
                <w:color w:val="FFFFFF" w:themeColor="background1"/>
                <w:szCs w:val="24"/>
              </w:rPr>
              <w:t xml:space="preserve"> Issues </w:t>
            </w:r>
          </w:p>
        </w:tc>
        <w:tc>
          <w:tcPr>
            <w:tcW w:w="12297" w:type="dxa"/>
          </w:tcPr>
          <w:p w14:paraId="2B290ECE" w14:textId="327D7961" w:rsidR="00D03AA2" w:rsidRPr="00D03AA2" w:rsidRDefault="00D03AA2" w:rsidP="00D03AA2">
            <w:pPr>
              <w:numPr>
                <w:ilvl w:val="0"/>
                <w:numId w:val="31"/>
              </w:numPr>
              <w:rPr>
                <w:rFonts w:cstheme="minorHAnsi"/>
              </w:rPr>
            </w:pPr>
            <w:r w:rsidRPr="00D03AA2">
              <w:rPr>
                <w:rFonts w:cstheme="minorHAnsi"/>
              </w:rPr>
              <w:t>Consult secondary data sources on gender issues in the targeted area and/or sector including but not limited to:</w:t>
            </w:r>
          </w:p>
          <w:p w14:paraId="6129CDED" w14:textId="1A012D24" w:rsidR="00D03AA2" w:rsidRPr="00D03AA2" w:rsidRDefault="00D03AA2" w:rsidP="00D03AA2">
            <w:pPr>
              <w:numPr>
                <w:ilvl w:val="1"/>
                <w:numId w:val="31"/>
              </w:numPr>
              <w:rPr>
                <w:rFonts w:cstheme="minorHAnsi"/>
              </w:rPr>
            </w:pPr>
            <w:r w:rsidRPr="00D03AA2">
              <w:rPr>
                <w:rFonts w:cstheme="minorHAnsi"/>
              </w:rPr>
              <w:t>National statistics</w:t>
            </w:r>
          </w:p>
          <w:p w14:paraId="1BCDE374" w14:textId="77777777" w:rsidR="00D03AA2" w:rsidRPr="00D03AA2" w:rsidRDefault="00D03AA2" w:rsidP="00D03AA2">
            <w:pPr>
              <w:numPr>
                <w:ilvl w:val="1"/>
                <w:numId w:val="31"/>
              </w:numPr>
              <w:rPr>
                <w:rFonts w:cstheme="minorHAnsi"/>
              </w:rPr>
            </w:pPr>
            <w:r w:rsidRPr="00D03AA2">
              <w:rPr>
                <w:rFonts w:cstheme="minorHAnsi"/>
              </w:rPr>
              <w:t>Existing gender analyses from other projects, donors, etc.</w:t>
            </w:r>
          </w:p>
          <w:p w14:paraId="449B9143" w14:textId="3A2D772D" w:rsidR="00D03AA2" w:rsidRPr="00D03AA2" w:rsidRDefault="00D03AA2" w:rsidP="00D03AA2">
            <w:pPr>
              <w:numPr>
                <w:ilvl w:val="1"/>
                <w:numId w:val="31"/>
              </w:numPr>
              <w:rPr>
                <w:rFonts w:cstheme="minorHAnsi"/>
              </w:rPr>
            </w:pPr>
            <w:r w:rsidRPr="00D03AA2">
              <w:rPr>
                <w:rFonts w:cstheme="minorHAnsi"/>
              </w:rPr>
              <w:t>Other development literature on the social context</w:t>
            </w:r>
          </w:p>
          <w:p w14:paraId="1F20930E" w14:textId="5DEB912A" w:rsidR="00D03AA2" w:rsidRPr="00D03AA2" w:rsidRDefault="00D03AA2" w:rsidP="00D03AA2">
            <w:pPr>
              <w:numPr>
                <w:ilvl w:val="0"/>
                <w:numId w:val="31"/>
              </w:numPr>
              <w:rPr>
                <w:rFonts w:cstheme="minorHAnsi"/>
              </w:rPr>
            </w:pPr>
            <w:r w:rsidRPr="00D03AA2">
              <w:rPr>
                <w:rFonts w:cstheme="minorHAnsi"/>
              </w:rPr>
              <w:t>Conduct primary data collection in the target area from men</w:t>
            </w:r>
            <w:r w:rsidR="00B31756">
              <w:rPr>
                <w:rFonts w:cstheme="minorHAnsi"/>
              </w:rPr>
              <w:t>,</w:t>
            </w:r>
            <w:r w:rsidRPr="00D03AA2">
              <w:rPr>
                <w:rFonts w:cstheme="minorHAnsi"/>
              </w:rPr>
              <w:t xml:space="preserve"> women, girls and boys</w:t>
            </w:r>
          </w:p>
          <w:p w14:paraId="3FB64026" w14:textId="2D1097F9" w:rsidR="00D03AA2" w:rsidRPr="00D03AA2" w:rsidRDefault="00D03AA2" w:rsidP="00D03AA2">
            <w:pPr>
              <w:numPr>
                <w:ilvl w:val="0"/>
                <w:numId w:val="31"/>
              </w:numPr>
              <w:rPr>
                <w:rFonts w:cstheme="minorHAnsi"/>
              </w:rPr>
            </w:pPr>
            <w:r w:rsidRPr="00D03AA2">
              <w:rPr>
                <w:rFonts w:cstheme="minorHAnsi"/>
              </w:rPr>
              <w:t>Organiz</w:t>
            </w:r>
            <w:r w:rsidR="007B01AD">
              <w:rPr>
                <w:rFonts w:cstheme="minorHAnsi"/>
              </w:rPr>
              <w:t>e</w:t>
            </w:r>
            <w:r w:rsidRPr="00D03AA2">
              <w:rPr>
                <w:rFonts w:cstheme="minorHAnsi"/>
              </w:rPr>
              <w:t xml:space="preserve"> and triangulate primary and secondary data from men, women, girls and boys</w:t>
            </w:r>
          </w:p>
          <w:p w14:paraId="4DC7D742" w14:textId="77777777" w:rsidR="00D03AA2" w:rsidRPr="00D03AA2" w:rsidRDefault="00D03AA2" w:rsidP="00D03AA2">
            <w:pPr>
              <w:numPr>
                <w:ilvl w:val="0"/>
                <w:numId w:val="31"/>
              </w:numPr>
              <w:rPr>
                <w:rFonts w:cstheme="minorHAnsi"/>
              </w:rPr>
            </w:pPr>
            <w:r w:rsidRPr="00D03AA2">
              <w:rPr>
                <w:rFonts w:cstheme="minorHAnsi"/>
              </w:rPr>
              <w:t>The needs assessment should provide evidence of:</w:t>
            </w:r>
          </w:p>
          <w:p w14:paraId="0699D692" w14:textId="21FD3E4E" w:rsidR="00D03AA2" w:rsidRPr="00D03AA2" w:rsidRDefault="00D03AA2" w:rsidP="00D03AA2">
            <w:pPr>
              <w:numPr>
                <w:ilvl w:val="1"/>
                <w:numId w:val="31"/>
              </w:numPr>
              <w:rPr>
                <w:rFonts w:cstheme="minorHAnsi"/>
              </w:rPr>
            </w:pPr>
            <w:r w:rsidRPr="00D03AA2">
              <w:rPr>
                <w:rFonts w:cstheme="minorHAnsi"/>
              </w:rPr>
              <w:t>Women’s and men’s roles at different levels including the household, the community and other groups or associations (</w:t>
            </w:r>
            <w:r w:rsidR="00B31756">
              <w:rPr>
                <w:rFonts w:cstheme="minorHAnsi"/>
              </w:rPr>
              <w:t xml:space="preserve">i.e. </w:t>
            </w:r>
            <w:r w:rsidRPr="00D03AA2">
              <w:rPr>
                <w:rFonts w:cstheme="minorHAnsi"/>
              </w:rPr>
              <w:t>what do people do)</w:t>
            </w:r>
          </w:p>
          <w:p w14:paraId="56C95F7A" w14:textId="0B4BF774" w:rsidR="00D03AA2" w:rsidRPr="00D03AA2" w:rsidRDefault="00D03AA2" w:rsidP="00D03AA2">
            <w:pPr>
              <w:numPr>
                <w:ilvl w:val="1"/>
                <w:numId w:val="31"/>
              </w:numPr>
              <w:rPr>
                <w:rFonts w:cstheme="minorHAnsi"/>
              </w:rPr>
            </w:pPr>
            <w:r w:rsidRPr="00D03AA2">
              <w:rPr>
                <w:rFonts w:cstheme="minorHAnsi"/>
              </w:rPr>
              <w:t>Women’s and men’s decision-making roles in households and communities</w:t>
            </w:r>
          </w:p>
          <w:p w14:paraId="0660AD41" w14:textId="7C60CAB2" w:rsidR="00D03AA2" w:rsidRPr="00D03AA2" w:rsidRDefault="00D03AA2" w:rsidP="00D03AA2">
            <w:pPr>
              <w:numPr>
                <w:ilvl w:val="1"/>
                <w:numId w:val="31"/>
              </w:numPr>
              <w:rPr>
                <w:rFonts w:cstheme="minorHAnsi"/>
              </w:rPr>
            </w:pPr>
            <w:r w:rsidRPr="00D03AA2">
              <w:rPr>
                <w:rFonts w:cstheme="minorHAnsi"/>
              </w:rPr>
              <w:t>Women’s and men’s access to resources and services</w:t>
            </w:r>
          </w:p>
          <w:p w14:paraId="45E35999" w14:textId="284CF94A" w:rsidR="00D03AA2" w:rsidRPr="00D03AA2" w:rsidRDefault="00D03AA2" w:rsidP="00D03AA2">
            <w:pPr>
              <w:numPr>
                <w:ilvl w:val="1"/>
                <w:numId w:val="31"/>
              </w:numPr>
              <w:rPr>
                <w:rFonts w:cstheme="minorHAnsi"/>
              </w:rPr>
            </w:pPr>
            <w:r w:rsidRPr="00D03AA2">
              <w:rPr>
                <w:rFonts w:cstheme="minorHAnsi"/>
              </w:rPr>
              <w:t>Women’s and men’s needs and interests</w:t>
            </w:r>
          </w:p>
          <w:p w14:paraId="3DF12B42" w14:textId="2C0451A5" w:rsidR="00D03AA2" w:rsidRPr="00D03AA2" w:rsidRDefault="00D03AA2" w:rsidP="00D03AA2">
            <w:pPr>
              <w:numPr>
                <w:ilvl w:val="1"/>
                <w:numId w:val="31"/>
              </w:numPr>
              <w:rPr>
                <w:rFonts w:cstheme="minorHAnsi"/>
              </w:rPr>
            </w:pPr>
            <w:r w:rsidRPr="00D03AA2">
              <w:rPr>
                <w:rFonts w:cstheme="minorHAnsi"/>
              </w:rPr>
              <w:t>Beliefs and norms about men and women</w:t>
            </w:r>
          </w:p>
          <w:p w14:paraId="03321AA7" w14:textId="34B2256E" w:rsidR="003A240C" w:rsidRPr="000C3B37" w:rsidRDefault="00D03AA2" w:rsidP="00D03AA2">
            <w:pPr>
              <w:numPr>
                <w:ilvl w:val="1"/>
                <w:numId w:val="31"/>
              </w:numPr>
              <w:rPr>
                <w:rFonts w:cstheme="minorHAnsi"/>
              </w:rPr>
            </w:pPr>
            <w:r w:rsidRPr="00D03AA2">
              <w:rPr>
                <w:rFonts w:cstheme="minorHAnsi"/>
              </w:rPr>
              <w:t>How laws, policies and institutions establish (or not) an equitable environment for men and women</w:t>
            </w:r>
          </w:p>
        </w:tc>
      </w:tr>
    </w:tbl>
    <w:tbl>
      <w:tblPr>
        <w:tblW w:w="14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60"/>
        <w:gridCol w:w="5580"/>
      </w:tblGrid>
      <w:tr w:rsidR="0028692D" w:rsidRPr="003A240C" w14:paraId="118851A1" w14:textId="6B0C8D87" w:rsidTr="00AF7AC3">
        <w:trPr>
          <w:trHeight w:val="101"/>
        </w:trPr>
        <w:tc>
          <w:tcPr>
            <w:tcW w:w="14490" w:type="dxa"/>
            <w:gridSpan w:val="3"/>
            <w:shd w:val="clear" w:color="auto" w:fill="92D050"/>
          </w:tcPr>
          <w:bookmarkEnd w:id="0"/>
          <w:p w14:paraId="577D214F" w14:textId="5136BD63" w:rsidR="0028692D" w:rsidRDefault="0028692D" w:rsidP="005C2DC8">
            <w:pPr>
              <w:spacing w:before="240"/>
              <w:jc w:val="center"/>
              <w:rPr>
                <w:b/>
                <w:bCs/>
                <w:sz w:val="36"/>
                <w:szCs w:val="36"/>
              </w:rPr>
            </w:pPr>
            <w:r w:rsidRPr="005C2DC8">
              <w:rPr>
                <w:b/>
                <w:bCs/>
                <w:sz w:val="36"/>
                <w:szCs w:val="36"/>
              </w:rPr>
              <w:lastRenderedPageBreak/>
              <w:t>NEEDS ASSESSMENT PLANNING TABLE</w:t>
            </w:r>
            <w:r w:rsidR="00E233B2">
              <w:rPr>
                <w:b/>
                <w:bCs/>
                <w:sz w:val="36"/>
                <w:szCs w:val="36"/>
              </w:rPr>
              <w:t xml:space="preserve"> </w:t>
            </w:r>
            <w:r w:rsidR="00DA47B5">
              <w:rPr>
                <w:b/>
                <w:bCs/>
                <w:sz w:val="36"/>
                <w:szCs w:val="36"/>
              </w:rPr>
              <w:t>–</w:t>
            </w:r>
            <w:r w:rsidR="00E233B2">
              <w:rPr>
                <w:b/>
                <w:bCs/>
                <w:sz w:val="36"/>
                <w:szCs w:val="36"/>
              </w:rPr>
              <w:t xml:space="preserve"> INSTRUCTIONS</w:t>
            </w:r>
          </w:p>
          <w:p w14:paraId="5B9E60D6" w14:textId="501752D7" w:rsidR="00DA47B5" w:rsidRPr="00DA47B5" w:rsidRDefault="00DA47B5" w:rsidP="00B31756">
            <w:pPr>
              <w:spacing w:before="240"/>
              <w:rPr>
                <w:i/>
                <w:iCs/>
              </w:rPr>
            </w:pPr>
            <w:r>
              <w:rPr>
                <w:i/>
                <w:iCs/>
              </w:rPr>
              <w:t xml:space="preserve">This table is used to outline why you are </w:t>
            </w:r>
            <w:r w:rsidR="00B31756">
              <w:rPr>
                <w:i/>
                <w:iCs/>
              </w:rPr>
              <w:t xml:space="preserve">conducting </w:t>
            </w:r>
            <w:r>
              <w:rPr>
                <w:i/>
                <w:iCs/>
              </w:rPr>
              <w:t xml:space="preserve">the needs assessment, what questions you want to answer, how you will answer them and what is the scope of data collection for each question. </w:t>
            </w:r>
          </w:p>
        </w:tc>
      </w:tr>
      <w:tr w:rsidR="0028692D" w:rsidRPr="003A240C" w14:paraId="35176787" w14:textId="65F5E80D" w:rsidTr="00AF7AC3">
        <w:trPr>
          <w:trHeight w:val="101"/>
        </w:trPr>
        <w:tc>
          <w:tcPr>
            <w:tcW w:w="14490" w:type="dxa"/>
            <w:gridSpan w:val="3"/>
          </w:tcPr>
          <w:p w14:paraId="25D433A9" w14:textId="3AC79531" w:rsidR="0028692D" w:rsidRDefault="0028692D" w:rsidP="00B31756">
            <w:r>
              <w:t xml:space="preserve">Name </w:t>
            </w:r>
            <w:r w:rsidRPr="002B5184">
              <w:t xml:space="preserve">of </w:t>
            </w:r>
            <w:r w:rsidR="00B31756" w:rsidRPr="002B5184">
              <w:t>n</w:t>
            </w:r>
            <w:r w:rsidRPr="002B5184">
              <w:t xml:space="preserve">eeds </w:t>
            </w:r>
            <w:r w:rsidR="00B31756" w:rsidRPr="002B5184">
              <w:t>a</w:t>
            </w:r>
            <w:r w:rsidRPr="002B5184">
              <w:t>ssessment</w:t>
            </w:r>
            <w:r>
              <w:t xml:space="preserve"> </w:t>
            </w:r>
            <w:r w:rsidR="00B31756">
              <w:t>l</w:t>
            </w:r>
            <w:r>
              <w:t>ead</w:t>
            </w:r>
            <w:r w:rsidR="00B31756">
              <w:t xml:space="preserve"> person</w:t>
            </w:r>
            <w:r>
              <w:t>:</w:t>
            </w:r>
          </w:p>
        </w:tc>
      </w:tr>
      <w:tr w:rsidR="0028692D" w:rsidRPr="003A240C" w14:paraId="32794E02" w14:textId="58CE9450" w:rsidTr="00AF7AC3">
        <w:trPr>
          <w:trHeight w:val="586"/>
        </w:trPr>
        <w:tc>
          <w:tcPr>
            <w:tcW w:w="14490" w:type="dxa"/>
            <w:gridSpan w:val="3"/>
          </w:tcPr>
          <w:p w14:paraId="081CAA91" w14:textId="31BB467E" w:rsidR="0028692D" w:rsidRPr="003A240C" w:rsidRDefault="0028692D" w:rsidP="003A240C">
            <w:r w:rsidRPr="003A240C">
              <w:t xml:space="preserve">Budget for assessment: </w:t>
            </w:r>
          </w:p>
        </w:tc>
      </w:tr>
      <w:tr w:rsidR="0028692D" w:rsidRPr="003A240C" w14:paraId="400C0A45" w14:textId="4EC8268F" w:rsidTr="00AF7AC3">
        <w:trPr>
          <w:trHeight w:val="101"/>
        </w:trPr>
        <w:tc>
          <w:tcPr>
            <w:tcW w:w="14490" w:type="dxa"/>
            <w:gridSpan w:val="3"/>
          </w:tcPr>
          <w:p w14:paraId="6F7C2A64" w14:textId="1942C89A" w:rsidR="0028692D" w:rsidRPr="003A240C" w:rsidRDefault="0028692D" w:rsidP="003A240C">
            <w:r w:rsidRPr="003A240C">
              <w:t>Time available</w:t>
            </w:r>
            <w:r w:rsidR="00B31756">
              <w:t>/</w:t>
            </w:r>
            <w:r w:rsidRPr="003A240C">
              <w:t xml:space="preserve">required for assessment: </w:t>
            </w:r>
          </w:p>
        </w:tc>
      </w:tr>
      <w:tr w:rsidR="0028692D" w:rsidRPr="003A240C" w14:paraId="036D042B" w14:textId="0973347E" w:rsidTr="00AF7AC3">
        <w:trPr>
          <w:trHeight w:val="101"/>
        </w:trPr>
        <w:tc>
          <w:tcPr>
            <w:tcW w:w="14490" w:type="dxa"/>
            <w:gridSpan w:val="3"/>
          </w:tcPr>
          <w:p w14:paraId="23B18A7C" w14:textId="567B1457" w:rsidR="0028692D" w:rsidRPr="003A240C" w:rsidRDefault="0028692D" w:rsidP="003A240C">
            <w:r w:rsidRPr="003A240C">
              <w:t xml:space="preserve">Logistical support required: </w:t>
            </w:r>
          </w:p>
        </w:tc>
      </w:tr>
      <w:tr w:rsidR="00BC0F71" w:rsidRPr="003A240C" w14:paraId="12203C25" w14:textId="77777777" w:rsidTr="00AF7AC3">
        <w:trPr>
          <w:trHeight w:val="101"/>
        </w:trPr>
        <w:tc>
          <w:tcPr>
            <w:tcW w:w="14490" w:type="dxa"/>
            <w:gridSpan w:val="3"/>
            <w:shd w:val="clear" w:color="auto" w:fill="BFBFBF" w:themeFill="background1" w:themeFillShade="BF"/>
          </w:tcPr>
          <w:p w14:paraId="6C83A446" w14:textId="77777777" w:rsidR="00BC0F71" w:rsidRDefault="00BC0F71" w:rsidP="00BC0F71">
            <w:pPr>
              <w:spacing w:line="240" w:lineRule="auto"/>
              <w:rPr>
                <w:b/>
                <w:bCs/>
              </w:rPr>
            </w:pPr>
            <w:r w:rsidRPr="003A240C">
              <w:rPr>
                <w:b/>
                <w:bCs/>
              </w:rPr>
              <w:t xml:space="preserve">Step 1: Why? </w:t>
            </w:r>
          </w:p>
          <w:p w14:paraId="74C70538" w14:textId="21FC9110" w:rsidR="00BC0F71" w:rsidRDefault="00BC0F71" w:rsidP="00B31756">
            <w:pPr>
              <w:spacing w:line="240" w:lineRule="auto"/>
              <w:rPr>
                <w:b/>
                <w:bCs/>
              </w:rPr>
            </w:pPr>
            <w:r>
              <w:rPr>
                <w:b/>
                <w:bCs/>
              </w:rPr>
              <w:t xml:space="preserve">Why are we </w:t>
            </w:r>
            <w:r w:rsidR="00B31756">
              <w:rPr>
                <w:b/>
                <w:bCs/>
              </w:rPr>
              <w:t xml:space="preserve">conducting </w:t>
            </w:r>
            <w:r>
              <w:rPr>
                <w:b/>
                <w:bCs/>
              </w:rPr>
              <w:t xml:space="preserve">the assessment? What are </w:t>
            </w:r>
            <w:r w:rsidR="00B31756">
              <w:rPr>
                <w:b/>
                <w:bCs/>
              </w:rPr>
              <w:t>our</w:t>
            </w:r>
            <w:r>
              <w:rPr>
                <w:b/>
                <w:bCs/>
              </w:rPr>
              <w:t xml:space="preserve"> objectives?</w:t>
            </w:r>
          </w:p>
        </w:tc>
      </w:tr>
      <w:tr w:rsidR="00BC0F71" w:rsidRPr="003A240C" w14:paraId="4D702DFC" w14:textId="77777777" w:rsidTr="00AF7AC3">
        <w:trPr>
          <w:trHeight w:val="101"/>
        </w:trPr>
        <w:tc>
          <w:tcPr>
            <w:tcW w:w="14490" w:type="dxa"/>
            <w:gridSpan w:val="3"/>
            <w:shd w:val="clear" w:color="auto" w:fill="F2F2F2" w:themeFill="background1" w:themeFillShade="F2"/>
          </w:tcPr>
          <w:p w14:paraId="393BFD46" w14:textId="287AA653" w:rsidR="00BC0F71" w:rsidRPr="000C059D" w:rsidRDefault="00BC0F71" w:rsidP="000C059D">
            <w:pPr>
              <w:spacing w:line="240" w:lineRule="auto"/>
              <w:rPr>
                <w:b/>
                <w:bCs/>
              </w:rPr>
            </w:pPr>
          </w:p>
        </w:tc>
      </w:tr>
      <w:tr w:rsidR="00BC0F71" w:rsidRPr="003A240C" w14:paraId="4ABED586" w14:textId="6D1A802D" w:rsidTr="006254DB">
        <w:trPr>
          <w:trHeight w:val="101"/>
        </w:trPr>
        <w:tc>
          <w:tcPr>
            <w:tcW w:w="3150" w:type="dxa"/>
            <w:shd w:val="clear" w:color="auto" w:fill="BFBFBF" w:themeFill="background1" w:themeFillShade="BF"/>
          </w:tcPr>
          <w:p w14:paraId="6128BD45" w14:textId="77777777" w:rsidR="00BC0F71" w:rsidRDefault="00BC0F71" w:rsidP="0085327B">
            <w:pPr>
              <w:spacing w:line="240" w:lineRule="auto"/>
              <w:rPr>
                <w:b/>
                <w:bCs/>
              </w:rPr>
            </w:pPr>
            <w:r w:rsidRPr="003A240C">
              <w:rPr>
                <w:b/>
                <w:bCs/>
              </w:rPr>
              <w:t xml:space="preserve">Step 2: What? </w:t>
            </w:r>
          </w:p>
          <w:p w14:paraId="7170E15B" w14:textId="72F1F52D" w:rsidR="00BC0F71" w:rsidRPr="003A240C" w:rsidRDefault="00BC0F71" w:rsidP="0085327B">
            <w:pPr>
              <w:spacing w:line="240" w:lineRule="auto"/>
            </w:pPr>
            <w:r>
              <w:rPr>
                <w:b/>
                <w:bCs/>
              </w:rPr>
              <w:t xml:space="preserve">What are the questions that need to be answered? </w:t>
            </w:r>
          </w:p>
        </w:tc>
        <w:tc>
          <w:tcPr>
            <w:tcW w:w="5760" w:type="dxa"/>
            <w:shd w:val="clear" w:color="auto" w:fill="BFBFBF" w:themeFill="background1" w:themeFillShade="BF"/>
          </w:tcPr>
          <w:p w14:paraId="4757BBE1" w14:textId="77777777" w:rsidR="00BC0F71" w:rsidRDefault="00BC0F71" w:rsidP="0085327B">
            <w:pPr>
              <w:spacing w:line="240" w:lineRule="auto"/>
              <w:rPr>
                <w:b/>
                <w:bCs/>
              </w:rPr>
            </w:pPr>
            <w:r w:rsidRPr="003A240C">
              <w:rPr>
                <w:b/>
                <w:bCs/>
              </w:rPr>
              <w:t xml:space="preserve">Step 3: How? </w:t>
            </w:r>
          </w:p>
          <w:p w14:paraId="128246CA" w14:textId="063CAD2D" w:rsidR="00BC0F71" w:rsidRPr="003A240C" w:rsidRDefault="00BC0F71" w:rsidP="00B31756">
            <w:pPr>
              <w:spacing w:line="240" w:lineRule="auto"/>
            </w:pPr>
            <w:r>
              <w:rPr>
                <w:b/>
                <w:bCs/>
              </w:rPr>
              <w:t xml:space="preserve">What methods or sources will </w:t>
            </w:r>
            <w:r w:rsidR="00B31756">
              <w:rPr>
                <w:b/>
                <w:bCs/>
              </w:rPr>
              <w:t xml:space="preserve">be </w:t>
            </w:r>
            <w:r>
              <w:rPr>
                <w:b/>
                <w:bCs/>
              </w:rPr>
              <w:t>use</w:t>
            </w:r>
            <w:r w:rsidR="00B31756">
              <w:rPr>
                <w:b/>
                <w:bCs/>
              </w:rPr>
              <w:t>d</w:t>
            </w:r>
            <w:r>
              <w:rPr>
                <w:b/>
                <w:bCs/>
              </w:rPr>
              <w:t xml:space="preserve"> to gather answers to the assessment questions? Who will we talk to? </w:t>
            </w:r>
          </w:p>
        </w:tc>
        <w:tc>
          <w:tcPr>
            <w:tcW w:w="5580" w:type="dxa"/>
            <w:shd w:val="clear" w:color="auto" w:fill="BFBFBF" w:themeFill="background1" w:themeFillShade="BF"/>
          </w:tcPr>
          <w:p w14:paraId="0BB74DF7" w14:textId="162BEBAD" w:rsidR="00CF4505" w:rsidRDefault="00BC0F71" w:rsidP="0085327B">
            <w:pPr>
              <w:spacing w:line="240" w:lineRule="auto"/>
              <w:rPr>
                <w:b/>
                <w:bCs/>
              </w:rPr>
            </w:pPr>
            <w:r>
              <w:rPr>
                <w:b/>
                <w:bCs/>
              </w:rPr>
              <w:t>Step 4: Scope</w:t>
            </w:r>
          </w:p>
          <w:p w14:paraId="2CB422FA" w14:textId="6C8CF0B7" w:rsidR="00BC0F71" w:rsidRPr="00CF4505" w:rsidRDefault="00CF4505" w:rsidP="0085327B">
            <w:pPr>
              <w:spacing w:line="240" w:lineRule="auto"/>
              <w:rPr>
                <w:b/>
                <w:bCs/>
              </w:rPr>
            </w:pPr>
            <w:r>
              <w:rPr>
                <w:b/>
              </w:rPr>
              <w:t>What n</w:t>
            </w:r>
            <w:r w:rsidR="00BC0F71" w:rsidRPr="00CF4505">
              <w:rPr>
                <w:b/>
              </w:rPr>
              <w:t>umber and</w:t>
            </w:r>
            <w:r w:rsidR="00F6155A">
              <w:rPr>
                <w:b/>
              </w:rPr>
              <w:t xml:space="preserve"> characteristics of</w:t>
            </w:r>
            <w:r w:rsidR="00BC0F71" w:rsidRPr="00CF4505">
              <w:rPr>
                <w:b/>
              </w:rPr>
              <w:t xml:space="preserve"> perspectives </w:t>
            </w:r>
            <w:r>
              <w:rPr>
                <w:b/>
              </w:rPr>
              <w:t xml:space="preserve">are </w:t>
            </w:r>
            <w:r w:rsidR="00BC0F71" w:rsidRPr="00CF4505">
              <w:rPr>
                <w:b/>
              </w:rPr>
              <w:t>needed for either triangulation or</w:t>
            </w:r>
            <w:r>
              <w:rPr>
                <w:b/>
              </w:rPr>
              <w:t xml:space="preserve"> purposeful sampling?</w:t>
            </w:r>
          </w:p>
        </w:tc>
      </w:tr>
      <w:tr w:rsidR="00BC0F71" w:rsidRPr="003A240C" w14:paraId="04A49F22" w14:textId="15AEA890" w:rsidTr="006254DB">
        <w:trPr>
          <w:trHeight w:val="995"/>
        </w:trPr>
        <w:tc>
          <w:tcPr>
            <w:tcW w:w="3150" w:type="dxa"/>
            <w:shd w:val="clear" w:color="auto" w:fill="F2F2F2" w:themeFill="background1" w:themeFillShade="F2"/>
          </w:tcPr>
          <w:p w14:paraId="734BC8C3" w14:textId="5FBFE339" w:rsidR="00BC0F71" w:rsidRDefault="00BC0F71" w:rsidP="000C059D">
            <w:pPr>
              <w:spacing w:line="240" w:lineRule="auto"/>
            </w:pPr>
          </w:p>
        </w:tc>
        <w:tc>
          <w:tcPr>
            <w:tcW w:w="5760" w:type="dxa"/>
            <w:shd w:val="clear" w:color="auto" w:fill="F2F2F2" w:themeFill="background1" w:themeFillShade="F2"/>
          </w:tcPr>
          <w:p w14:paraId="3D61DFD8" w14:textId="6AEB1613" w:rsidR="00BC0F71" w:rsidRDefault="00BC0F71" w:rsidP="000C059D">
            <w:pPr>
              <w:spacing w:line="240" w:lineRule="auto"/>
            </w:pPr>
          </w:p>
        </w:tc>
        <w:tc>
          <w:tcPr>
            <w:tcW w:w="5580" w:type="dxa"/>
            <w:shd w:val="clear" w:color="auto" w:fill="F2F2F2" w:themeFill="background1" w:themeFillShade="F2"/>
          </w:tcPr>
          <w:p w14:paraId="68856AAF" w14:textId="01742449" w:rsidR="00BC0F71" w:rsidRDefault="00BC0F71" w:rsidP="000C059D">
            <w:pPr>
              <w:spacing w:line="240" w:lineRule="auto"/>
            </w:pPr>
          </w:p>
        </w:tc>
      </w:tr>
    </w:tbl>
    <w:p w14:paraId="6591A574" w14:textId="77777777" w:rsidR="00E233B2" w:rsidRDefault="00E233B2"/>
    <w:p w14:paraId="5D4B0806" w14:textId="463DAFC4" w:rsidR="003A240C" w:rsidRDefault="003A240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4389"/>
        <w:gridCol w:w="2610"/>
        <w:gridCol w:w="4770"/>
      </w:tblGrid>
      <w:tr w:rsidR="003A240C" w:rsidRPr="003A240C" w14:paraId="78ED6827" w14:textId="77777777" w:rsidTr="00B1074B">
        <w:trPr>
          <w:trHeight w:val="350"/>
        </w:trPr>
        <w:tc>
          <w:tcPr>
            <w:tcW w:w="14413" w:type="dxa"/>
            <w:gridSpan w:val="4"/>
            <w:shd w:val="clear" w:color="auto" w:fill="92D050"/>
          </w:tcPr>
          <w:p w14:paraId="2DD488FD" w14:textId="1EEB110A" w:rsidR="00DA47B5" w:rsidRDefault="00B1074B" w:rsidP="00DA47B5">
            <w:pPr>
              <w:jc w:val="center"/>
              <w:rPr>
                <w:b/>
                <w:bCs/>
              </w:rPr>
            </w:pPr>
            <w:r w:rsidRPr="00DA47B5">
              <w:rPr>
                <w:b/>
                <w:bCs/>
                <w:sz w:val="36"/>
                <w:szCs w:val="36"/>
              </w:rPr>
              <w:lastRenderedPageBreak/>
              <w:t>ASSESSMENT METHOD/SOURCE OUTLINE</w:t>
            </w:r>
            <w:r w:rsidR="00DA47B5" w:rsidRPr="00DA47B5">
              <w:rPr>
                <w:b/>
                <w:bCs/>
                <w:sz w:val="36"/>
                <w:szCs w:val="36"/>
              </w:rPr>
              <w:t xml:space="preserve"> – INSTRUCTIONS</w:t>
            </w:r>
          </w:p>
          <w:p w14:paraId="09712B61" w14:textId="2F90DD52" w:rsidR="008A70DE" w:rsidRDefault="00DA47B5" w:rsidP="008A70DE">
            <w:pPr>
              <w:spacing w:after="0"/>
              <w:rPr>
                <w:i/>
                <w:iCs/>
              </w:rPr>
            </w:pPr>
            <w:r>
              <w:rPr>
                <w:i/>
                <w:iCs/>
              </w:rPr>
              <w:t xml:space="preserve">This table is used to operationalize your assessment objectives. It rearranges the information from the Needs Assessment Planning table </w:t>
            </w:r>
            <w:r w:rsidR="00B2159C">
              <w:rPr>
                <w:i/>
                <w:iCs/>
              </w:rPr>
              <w:t xml:space="preserve">in a way that helps clarify </w:t>
            </w:r>
            <w:r w:rsidR="008A70DE">
              <w:rPr>
                <w:i/>
                <w:iCs/>
              </w:rPr>
              <w:t xml:space="preserve">which evaluation questions will be covered by which method. This will facilitate the development of data collection instruments and ensure each instrument collects all the data necessary to answer each needs assessment question.  </w:t>
            </w:r>
          </w:p>
          <w:p w14:paraId="4CF1F268" w14:textId="70A5481A" w:rsidR="00DA47B5" w:rsidRPr="008A70DE" w:rsidRDefault="008A70DE" w:rsidP="00B2159C">
            <w:pPr>
              <w:pStyle w:val="ListParagraph"/>
              <w:numPr>
                <w:ilvl w:val="0"/>
                <w:numId w:val="32"/>
              </w:numPr>
              <w:rPr>
                <w:i/>
                <w:iCs/>
              </w:rPr>
            </w:pPr>
            <w:r>
              <w:rPr>
                <w:i/>
                <w:iCs/>
              </w:rPr>
              <w:t>For example, after filling out the Needs Assessment Planning table, you find that there are several questions under various objectives that will be answered in focus group discussions. You will list “focus group discussion” in this table and then list all the needs assessment questions that must be answered during the focus group. The data collection team will then develop a focus group discussion guide that covers all the related needs assessment questions. The project team will be confident that after using the focus group guide to conduct the focus group discussion</w:t>
            </w:r>
            <w:r w:rsidR="00B2159C">
              <w:rPr>
                <w:i/>
                <w:iCs/>
              </w:rPr>
              <w:t>, they</w:t>
            </w:r>
            <w:r>
              <w:rPr>
                <w:i/>
                <w:iCs/>
              </w:rPr>
              <w:t xml:space="preserve"> will have all the necessary data to answer the related needs assessment questions.  </w:t>
            </w:r>
          </w:p>
        </w:tc>
      </w:tr>
      <w:tr w:rsidR="00B1074B" w:rsidRPr="003A240C" w14:paraId="08849705" w14:textId="77777777" w:rsidTr="00B1074B">
        <w:trPr>
          <w:trHeight w:val="350"/>
        </w:trPr>
        <w:tc>
          <w:tcPr>
            <w:tcW w:w="2644" w:type="dxa"/>
            <w:shd w:val="clear" w:color="auto" w:fill="BFBFBF" w:themeFill="background1" w:themeFillShade="BF"/>
          </w:tcPr>
          <w:p w14:paraId="628FD7F3" w14:textId="7909313B" w:rsidR="00B1074B" w:rsidRPr="003A240C" w:rsidRDefault="00B1074B" w:rsidP="002F0E77">
            <w:r>
              <w:rPr>
                <w:b/>
                <w:bCs/>
              </w:rPr>
              <w:t>Name of method and information source</w:t>
            </w:r>
            <w:r w:rsidR="00F4447F">
              <w:rPr>
                <w:b/>
                <w:bCs/>
              </w:rPr>
              <w:t xml:space="preserve"> </w:t>
            </w:r>
          </w:p>
        </w:tc>
        <w:tc>
          <w:tcPr>
            <w:tcW w:w="4389" w:type="dxa"/>
            <w:shd w:val="clear" w:color="auto" w:fill="BFBFBF" w:themeFill="background1" w:themeFillShade="BF"/>
          </w:tcPr>
          <w:p w14:paraId="435C6AA8" w14:textId="72277848" w:rsidR="00B1074B" w:rsidRPr="003A240C" w:rsidRDefault="00B1074B" w:rsidP="003A240C">
            <w:r>
              <w:rPr>
                <w:b/>
                <w:bCs/>
              </w:rPr>
              <w:t>Questions Covered</w:t>
            </w:r>
            <w:r w:rsidRPr="003A240C">
              <w:rPr>
                <w:b/>
                <w:bCs/>
              </w:rPr>
              <w:t xml:space="preserve">: </w:t>
            </w:r>
            <w:r w:rsidRPr="003A240C">
              <w:t xml:space="preserve">Assessment questions to be covered in </w:t>
            </w:r>
            <w:r w:rsidR="00B2159C">
              <w:t xml:space="preserve">the </w:t>
            </w:r>
            <w:r w:rsidRPr="003A240C">
              <w:t xml:space="preserve">tool </w:t>
            </w:r>
          </w:p>
        </w:tc>
        <w:tc>
          <w:tcPr>
            <w:tcW w:w="2610" w:type="dxa"/>
            <w:shd w:val="clear" w:color="auto" w:fill="BFBFBF" w:themeFill="background1" w:themeFillShade="BF"/>
          </w:tcPr>
          <w:p w14:paraId="4B747FA7" w14:textId="6F3E67DD" w:rsidR="00B1074B" w:rsidRPr="003A240C" w:rsidRDefault="00B1074B" w:rsidP="003A240C">
            <w:r w:rsidRPr="003A240C">
              <w:rPr>
                <w:b/>
                <w:bCs/>
              </w:rPr>
              <w:t xml:space="preserve">Who: </w:t>
            </w:r>
            <w:r w:rsidRPr="003A240C">
              <w:t xml:space="preserve">Who will </w:t>
            </w:r>
            <w:r w:rsidR="00B2159C">
              <w:t xml:space="preserve">the </w:t>
            </w:r>
            <w:r w:rsidRPr="003A240C">
              <w:t>respondent(s) be for</w:t>
            </w:r>
            <w:r w:rsidR="00B2159C">
              <w:t xml:space="preserve"> the</w:t>
            </w:r>
            <w:r w:rsidRPr="003A240C">
              <w:t xml:space="preserve"> tool </w:t>
            </w:r>
          </w:p>
        </w:tc>
        <w:tc>
          <w:tcPr>
            <w:tcW w:w="4770" w:type="dxa"/>
            <w:shd w:val="clear" w:color="auto" w:fill="BFBFBF" w:themeFill="background1" w:themeFillShade="BF"/>
          </w:tcPr>
          <w:p w14:paraId="71792593" w14:textId="46F34D13" w:rsidR="00B1074B" w:rsidRPr="00562991" w:rsidRDefault="00B1074B" w:rsidP="00562991">
            <w:pPr>
              <w:spacing w:line="240" w:lineRule="auto"/>
            </w:pPr>
            <w:r>
              <w:rPr>
                <w:b/>
                <w:bCs/>
              </w:rPr>
              <w:t>Additional considerations</w:t>
            </w:r>
            <w:r w:rsidRPr="003A240C">
              <w:rPr>
                <w:b/>
                <w:bCs/>
              </w:rPr>
              <w:t xml:space="preserve">: </w:t>
            </w:r>
            <w:r w:rsidRPr="00562991">
              <w:t>Are there any unique considerations associated with collecting the answers to the assessment questions?</w:t>
            </w:r>
          </w:p>
          <w:p w14:paraId="1AECC66A" w14:textId="4FA36785" w:rsidR="00B1074B" w:rsidRPr="003A240C" w:rsidRDefault="00B1074B" w:rsidP="00562991">
            <w:r w:rsidRPr="00562991">
              <w:t>Are there any adjustments that need to be made to the methods relating to stakeholder participation, ethical considerations, data quality, etc.?</w:t>
            </w:r>
          </w:p>
        </w:tc>
      </w:tr>
      <w:tr w:rsidR="00B1074B" w:rsidRPr="003A240C" w14:paraId="3A6C6EC6" w14:textId="77777777" w:rsidTr="00B1074B">
        <w:trPr>
          <w:trHeight w:val="350"/>
        </w:trPr>
        <w:tc>
          <w:tcPr>
            <w:tcW w:w="2644" w:type="dxa"/>
            <w:shd w:val="clear" w:color="auto" w:fill="F2F2F2" w:themeFill="background1" w:themeFillShade="F2"/>
          </w:tcPr>
          <w:p w14:paraId="1295C3C3" w14:textId="4A87E016" w:rsidR="00B1074B" w:rsidRPr="00662891" w:rsidRDefault="008A70DE" w:rsidP="00B2159C">
            <w:r>
              <w:t xml:space="preserve"> </w:t>
            </w:r>
          </w:p>
        </w:tc>
        <w:tc>
          <w:tcPr>
            <w:tcW w:w="4389" w:type="dxa"/>
            <w:shd w:val="clear" w:color="auto" w:fill="F2F2F2" w:themeFill="background1" w:themeFillShade="F2"/>
          </w:tcPr>
          <w:p w14:paraId="1683BC33" w14:textId="4D125178" w:rsidR="00B1074B" w:rsidRPr="00834916" w:rsidRDefault="00B1074B" w:rsidP="00B436C8">
            <w:pPr>
              <w:rPr>
                <w:highlight w:val="yellow"/>
              </w:rPr>
            </w:pPr>
          </w:p>
        </w:tc>
        <w:tc>
          <w:tcPr>
            <w:tcW w:w="2610" w:type="dxa"/>
            <w:shd w:val="clear" w:color="auto" w:fill="F2F2F2" w:themeFill="background1" w:themeFillShade="F2"/>
          </w:tcPr>
          <w:p w14:paraId="56D7B862" w14:textId="52CC4BF3" w:rsidR="00B1074B" w:rsidRPr="00662891" w:rsidRDefault="00352A98" w:rsidP="003A240C">
            <w:r>
              <w:t xml:space="preserve"> </w:t>
            </w:r>
          </w:p>
        </w:tc>
        <w:tc>
          <w:tcPr>
            <w:tcW w:w="4770" w:type="dxa"/>
            <w:shd w:val="clear" w:color="auto" w:fill="F2F2F2" w:themeFill="background1" w:themeFillShade="F2"/>
          </w:tcPr>
          <w:p w14:paraId="45C890EB" w14:textId="028A7D93" w:rsidR="00352A98" w:rsidRPr="00352A98" w:rsidRDefault="00352A98" w:rsidP="00562991">
            <w:pPr>
              <w:spacing w:line="240" w:lineRule="auto"/>
            </w:pPr>
            <w:r>
              <w:t xml:space="preserve"> </w:t>
            </w:r>
          </w:p>
        </w:tc>
      </w:tr>
    </w:tbl>
    <w:p w14:paraId="7BB8A083" w14:textId="77777777" w:rsidR="00B86465" w:rsidRDefault="00B86465"/>
    <w:p w14:paraId="0705CBD5" w14:textId="77777777" w:rsidR="00076A02" w:rsidRPr="000A5751" w:rsidRDefault="00076A02" w:rsidP="00352A98">
      <w:bookmarkStart w:id="1" w:name="_GoBack"/>
      <w:bookmarkEnd w:id="1"/>
    </w:p>
    <w:sectPr w:rsidR="00076A02" w:rsidRPr="000A5751" w:rsidSect="003A240C">
      <w:headerReference w:type="default" r:id="rId11"/>
      <w:footerReference w:type="default" r:id="rId12"/>
      <w:pgSz w:w="15840" w:h="12240" w:orient="landscape" w:code="1"/>
      <w:pgMar w:top="547" w:right="547" w:bottom="547" w:left="547"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4CE36" w14:textId="77777777" w:rsidR="00C25AA3" w:rsidRDefault="00C25AA3" w:rsidP="003308C1">
      <w:pPr>
        <w:spacing w:after="0" w:line="240" w:lineRule="auto"/>
      </w:pPr>
      <w:r>
        <w:separator/>
      </w:r>
    </w:p>
  </w:endnote>
  <w:endnote w:type="continuationSeparator" w:id="0">
    <w:p w14:paraId="02859051" w14:textId="77777777" w:rsidR="00C25AA3" w:rsidRDefault="00C25AA3" w:rsidP="003308C1">
      <w:pPr>
        <w:spacing w:after="0" w:line="240" w:lineRule="auto"/>
      </w:pPr>
      <w:r>
        <w:continuationSeparator/>
      </w:r>
    </w:p>
  </w:endnote>
  <w:endnote w:type="continuationNotice" w:id="1">
    <w:p w14:paraId="2B7762F4" w14:textId="77777777" w:rsidR="00C25AA3" w:rsidRDefault="00C25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90171"/>
      <w:docPartObj>
        <w:docPartGallery w:val="Page Numbers (Bottom of Page)"/>
        <w:docPartUnique/>
      </w:docPartObj>
    </w:sdtPr>
    <w:sdtEndPr/>
    <w:sdtContent>
      <w:sdt>
        <w:sdtPr>
          <w:id w:val="860082579"/>
          <w:docPartObj>
            <w:docPartGallery w:val="Page Numbers (Top of Page)"/>
            <w:docPartUnique/>
          </w:docPartObj>
        </w:sdtPr>
        <w:sdtEndPr/>
        <w:sdtContent>
          <w:p w14:paraId="0F3657AF" w14:textId="77777777" w:rsidR="00E7430E" w:rsidRDefault="00E7430E">
            <w:pPr>
              <w:pStyle w:val="Footer"/>
              <w:jc w:val="right"/>
            </w:pPr>
          </w:p>
          <w:p w14:paraId="32CE9949" w14:textId="77777777" w:rsidR="00E7430E" w:rsidRDefault="00E743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639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6390">
              <w:rPr>
                <w:b/>
                <w:bCs/>
                <w:noProof/>
              </w:rPr>
              <w:t>4</w:t>
            </w:r>
            <w:r>
              <w:rPr>
                <w:b/>
                <w:bCs/>
                <w:sz w:val="24"/>
                <w:szCs w:val="24"/>
              </w:rPr>
              <w:fldChar w:fldCharType="end"/>
            </w:r>
          </w:p>
        </w:sdtContent>
      </w:sdt>
    </w:sdtContent>
  </w:sdt>
  <w:p w14:paraId="3ADB4EA6" w14:textId="77777777" w:rsidR="00E7430E" w:rsidRDefault="00E74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2A0F2" w14:textId="77777777" w:rsidR="00C25AA3" w:rsidRDefault="00C25AA3" w:rsidP="003308C1">
      <w:pPr>
        <w:spacing w:after="0" w:line="240" w:lineRule="auto"/>
      </w:pPr>
      <w:r>
        <w:separator/>
      </w:r>
    </w:p>
  </w:footnote>
  <w:footnote w:type="continuationSeparator" w:id="0">
    <w:p w14:paraId="51114A47" w14:textId="77777777" w:rsidR="00C25AA3" w:rsidRDefault="00C25AA3" w:rsidP="003308C1">
      <w:pPr>
        <w:spacing w:after="0" w:line="240" w:lineRule="auto"/>
      </w:pPr>
      <w:r>
        <w:continuationSeparator/>
      </w:r>
    </w:p>
  </w:footnote>
  <w:footnote w:type="continuationNotice" w:id="1">
    <w:p w14:paraId="0ECCC2E6" w14:textId="77777777" w:rsidR="00C25AA3" w:rsidRDefault="00C25A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822F" w14:textId="6B09D7A0" w:rsidR="00E7430E" w:rsidRDefault="00AF7AC3" w:rsidP="002801B5">
    <w:pPr>
      <w:pStyle w:val="Header"/>
    </w:pPr>
    <w:r w:rsidRPr="000C6759">
      <w:rPr>
        <w:noProof/>
      </w:rPr>
      <mc:AlternateContent>
        <mc:Choice Requires="wps">
          <w:drawing>
            <wp:anchor distT="0" distB="0" distL="114300" distR="114300" simplePos="0" relativeHeight="251659264" behindDoc="0" locked="0" layoutInCell="1" allowOverlap="1" wp14:anchorId="41920CA5" wp14:editId="70ABD868">
              <wp:simplePos x="0" y="0"/>
              <wp:positionH relativeFrom="column">
                <wp:posOffset>6417310</wp:posOffset>
              </wp:positionH>
              <wp:positionV relativeFrom="paragraph">
                <wp:posOffset>259080</wp:posOffset>
              </wp:positionV>
              <wp:extent cx="2819400" cy="351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51155"/>
                      </a:xfrm>
                      <a:prstGeom prst="rect">
                        <a:avLst/>
                      </a:prstGeom>
                      <a:noFill/>
                      <a:ln w="9525">
                        <a:noFill/>
                        <a:miter lim="800000"/>
                        <a:headEnd/>
                        <a:tailEnd/>
                      </a:ln>
                    </wps:spPr>
                    <wps:txbx>
                      <w:txbxContent>
                        <w:p w14:paraId="7CD0D4F4" w14:textId="56F6267C" w:rsidR="00E7430E" w:rsidRPr="002E38BC" w:rsidRDefault="00372200" w:rsidP="0075332D">
                          <w:pPr>
                            <w:autoSpaceDE w:val="0"/>
                            <w:autoSpaceDN w:val="0"/>
                            <w:adjustRightInd w:val="0"/>
                            <w:spacing w:after="0" w:line="288" w:lineRule="auto"/>
                            <w:ind w:right="45"/>
                            <w:jc w:val="right"/>
                            <w:textAlignment w:val="center"/>
                            <w:rPr>
                              <w:rFonts w:ascii="Franklin Gothic Demi Cond" w:hAnsi="Franklin Gothic Demi Cond"/>
                              <w:b/>
                              <w:color w:val="FFFFFF" w:themeColor="background1"/>
                              <w:sz w:val="28"/>
                            </w:rPr>
                          </w:pPr>
                          <w:r>
                            <w:rPr>
                              <w:rFonts w:ascii="Franklin Gothic Demi Cond" w:hAnsi="Franklin Gothic Demi Cond" w:cs="FranklinGothic-DemiCond"/>
                              <w:color w:val="404040" w:themeColor="text1" w:themeTint="BF"/>
                              <w:sz w:val="28"/>
                              <w:u w:val="single"/>
                            </w:rPr>
                            <w:t>Needs</w:t>
                          </w:r>
                          <w:r w:rsidR="00E7430E">
                            <w:rPr>
                              <w:rFonts w:ascii="Franklin Gothic Demi Cond" w:hAnsi="Franklin Gothic Demi Cond" w:cs="FranklinGothic-DemiCond"/>
                              <w:color w:val="404040" w:themeColor="text1" w:themeTint="BF"/>
                              <w:sz w:val="28"/>
                              <w:u w:val="single"/>
                            </w:rPr>
                            <w:t xml:space="preserve"> Assessment </w:t>
                          </w:r>
                          <w:r>
                            <w:rPr>
                              <w:rFonts w:ascii="Franklin Gothic Demi Cond" w:hAnsi="Franklin Gothic Demi Cond" w:cs="FranklinGothic-DemiCond"/>
                              <w:color w:val="404040" w:themeColor="text1" w:themeTint="BF"/>
                              <w:sz w:val="28"/>
                              <w:u w:val="single"/>
                            </w:rPr>
                            <w:t>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20CA5" id="_x0000_t202" coordsize="21600,21600" o:spt="202" path="m,l,21600r21600,l21600,xe">
              <v:stroke joinstyle="miter"/>
              <v:path gradientshapeok="t" o:connecttype="rect"/>
            </v:shapetype>
            <v:shape id="Text Box 3" o:spid="_x0000_s1026" type="#_x0000_t202" style="position:absolute;margin-left:505.3pt;margin-top:20.4pt;width:222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" filled="f" stroked="f">
              <v:textbox>
                <w:txbxContent>
                  <w:p w14:paraId="7CD0D4F4" w14:textId="56F6267C" w:rsidR="00E7430E" w:rsidRPr="002E38BC" w:rsidRDefault="00372200" w:rsidP="0075332D">
                    <w:pPr>
                      <w:autoSpaceDE w:val="0"/>
                      <w:autoSpaceDN w:val="0"/>
                      <w:adjustRightInd w:val="0"/>
                      <w:spacing w:after="0" w:line="288" w:lineRule="auto"/>
                      <w:ind w:right="45"/>
                      <w:jc w:val="right"/>
                      <w:textAlignment w:val="center"/>
                      <w:rPr>
                        <w:rFonts w:ascii="Franklin Gothic Demi Cond" w:hAnsi="Franklin Gothic Demi Cond"/>
                        <w:b/>
                        <w:color w:val="FFFFFF" w:themeColor="background1"/>
                        <w:sz w:val="28"/>
                      </w:rPr>
                    </w:pPr>
                    <w:r>
                      <w:rPr>
                        <w:rFonts w:ascii="Franklin Gothic Demi Cond" w:hAnsi="Franklin Gothic Demi Cond" w:cs="FranklinGothic-DemiCond"/>
                        <w:color w:val="404040" w:themeColor="text1" w:themeTint="BF"/>
                        <w:sz w:val="28"/>
                        <w:u w:val="single"/>
                      </w:rPr>
                      <w:t>Needs</w:t>
                    </w:r>
                    <w:r w:rsidR="00E7430E">
                      <w:rPr>
                        <w:rFonts w:ascii="Franklin Gothic Demi Cond" w:hAnsi="Franklin Gothic Demi Cond" w:cs="FranklinGothic-DemiCond"/>
                        <w:color w:val="404040" w:themeColor="text1" w:themeTint="BF"/>
                        <w:sz w:val="28"/>
                        <w:u w:val="single"/>
                      </w:rPr>
                      <w:t xml:space="preserve"> Assessment </w:t>
                    </w:r>
                    <w:r>
                      <w:rPr>
                        <w:rFonts w:ascii="Franklin Gothic Demi Cond" w:hAnsi="Franklin Gothic Demi Cond" w:cs="FranklinGothic-DemiCond"/>
                        <w:color w:val="404040" w:themeColor="text1" w:themeTint="BF"/>
                        <w:sz w:val="28"/>
                        <w:u w:val="single"/>
                      </w:rPr>
                      <w:t>Planning</w:t>
                    </w:r>
                  </w:p>
                </w:txbxContent>
              </v:textbox>
            </v:shape>
          </w:pict>
        </mc:Fallback>
      </mc:AlternateContent>
    </w:r>
    <w:r w:rsidR="00E61D35" w:rsidRPr="00744824">
      <w:rPr>
        <w:noProof/>
      </w:rPr>
      <mc:AlternateContent>
        <mc:Choice Requires="wps">
          <w:drawing>
            <wp:anchor distT="0" distB="0" distL="114300" distR="114300" simplePos="0" relativeHeight="251661312" behindDoc="0" locked="0" layoutInCell="1" allowOverlap="1" wp14:anchorId="563F9E0F" wp14:editId="3A26385A">
              <wp:simplePos x="0" y="0"/>
              <wp:positionH relativeFrom="column">
                <wp:posOffset>8429625</wp:posOffset>
              </wp:positionH>
              <wp:positionV relativeFrom="paragraph">
                <wp:posOffset>-45720</wp:posOffset>
              </wp:positionV>
              <wp:extent cx="762000"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762000" cy="388620"/>
                      </a:xfrm>
                      <a:prstGeom prst="rect">
                        <a:avLst/>
                      </a:prstGeom>
                      <a:noFill/>
                      <a:ln w="6350">
                        <a:noFill/>
                      </a:ln>
                      <a:effectLst/>
                    </wps:spPr>
                    <wps:txbx>
                      <w:txbxContent>
                        <w:p w14:paraId="30F0C09F" w14:textId="77777777" w:rsidR="00E7430E" w:rsidRPr="002E38BC" w:rsidRDefault="00E7430E"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F9E0F" id="Text Box 2" o:spid="_x0000_s1027" type="#_x0000_t202" style="position:absolute;margin-left:663.75pt;margin-top:-3.6pt;width:60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" filled="f" stroked="f" strokeweight=".5pt">
              <v:textbox>
                <w:txbxContent>
                  <w:p w14:paraId="30F0C09F" w14:textId="77777777" w:rsidR="00E7430E" w:rsidRPr="002E38BC" w:rsidRDefault="00E7430E"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v:textbox>
            </v:shape>
          </w:pict>
        </mc:Fallback>
      </mc:AlternateContent>
    </w:r>
    <w:r w:rsidR="00E7430E">
      <w:rPr>
        <w:noProof/>
      </w:rPr>
      <w:drawing>
        <wp:inline distT="0" distB="0" distL="0" distR="0" wp14:anchorId="4FF96882" wp14:editId="5A2E271E">
          <wp:extent cx="9239250" cy="7029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EL_Header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885" cy="7102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9B9"/>
    <w:multiLevelType w:val="hybridMultilevel"/>
    <w:tmpl w:val="ACFA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654E5"/>
    <w:multiLevelType w:val="hybridMultilevel"/>
    <w:tmpl w:val="1676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470BF"/>
    <w:multiLevelType w:val="hybridMultilevel"/>
    <w:tmpl w:val="3342CB7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0C7548F"/>
    <w:multiLevelType w:val="hybridMultilevel"/>
    <w:tmpl w:val="696CB026"/>
    <w:lvl w:ilvl="0" w:tplc="64B053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313CB"/>
    <w:multiLevelType w:val="hybridMultilevel"/>
    <w:tmpl w:val="0FCC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14537"/>
    <w:multiLevelType w:val="hybridMultilevel"/>
    <w:tmpl w:val="0956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42AE4"/>
    <w:multiLevelType w:val="hybridMultilevel"/>
    <w:tmpl w:val="3C6E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F6E97"/>
    <w:multiLevelType w:val="hybridMultilevel"/>
    <w:tmpl w:val="F12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B740B"/>
    <w:multiLevelType w:val="hybridMultilevel"/>
    <w:tmpl w:val="231C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0E34"/>
    <w:multiLevelType w:val="hybridMultilevel"/>
    <w:tmpl w:val="157E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C2140"/>
    <w:multiLevelType w:val="hybridMultilevel"/>
    <w:tmpl w:val="2294CDB8"/>
    <w:lvl w:ilvl="0" w:tplc="04090003">
      <w:start w:val="1"/>
      <w:numFmt w:val="bullet"/>
      <w:lvlText w:val="o"/>
      <w:lvlJc w:val="left"/>
      <w:pPr>
        <w:ind w:left="144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C45432"/>
    <w:multiLevelType w:val="hybridMultilevel"/>
    <w:tmpl w:val="6F7EA7C6"/>
    <w:lvl w:ilvl="0" w:tplc="04090003">
      <w:start w:val="1"/>
      <w:numFmt w:val="bullet"/>
      <w:lvlText w:val="o"/>
      <w:lvlJc w:val="left"/>
      <w:pPr>
        <w:ind w:left="770" w:hanging="360"/>
      </w:pPr>
      <w:rPr>
        <w:rFonts w:ascii="Courier New" w:hAnsi="Courier New"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DDC7E7B"/>
    <w:multiLevelType w:val="hybridMultilevel"/>
    <w:tmpl w:val="01DE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F5FC5"/>
    <w:multiLevelType w:val="hybridMultilevel"/>
    <w:tmpl w:val="C310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33F73"/>
    <w:multiLevelType w:val="hybridMultilevel"/>
    <w:tmpl w:val="00623042"/>
    <w:lvl w:ilvl="0" w:tplc="E5F0C18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5F30"/>
    <w:multiLevelType w:val="hybridMultilevel"/>
    <w:tmpl w:val="0BAE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B5A03"/>
    <w:multiLevelType w:val="hybridMultilevel"/>
    <w:tmpl w:val="BEAEB7E6"/>
    <w:lvl w:ilvl="0" w:tplc="8892C5E8">
      <w:numFmt w:val="bullet"/>
      <w:lvlText w:val="-"/>
      <w:lvlJc w:val="left"/>
      <w:pPr>
        <w:ind w:left="360" w:hanging="360"/>
      </w:pPr>
      <w:rPr>
        <w:rFonts w:ascii="Calibri" w:eastAsiaTheme="minorHAnsi" w:hAnsi="Calibri" w:cstheme="minorHAnsi" w:hint="default"/>
        <w:sz w:val="22"/>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D442786"/>
    <w:multiLevelType w:val="hybridMultilevel"/>
    <w:tmpl w:val="0A1E8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1AD7"/>
    <w:multiLevelType w:val="hybridMultilevel"/>
    <w:tmpl w:val="CA582B24"/>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3170785"/>
    <w:multiLevelType w:val="hybridMultilevel"/>
    <w:tmpl w:val="EC922A50"/>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0" w15:restartNumberingAfterBreak="0">
    <w:nsid w:val="461E31BE"/>
    <w:multiLevelType w:val="hybridMultilevel"/>
    <w:tmpl w:val="B81E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3495B"/>
    <w:multiLevelType w:val="hybridMultilevel"/>
    <w:tmpl w:val="FAA88F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4E857A5F"/>
    <w:multiLevelType w:val="hybridMultilevel"/>
    <w:tmpl w:val="DD48A5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B331F"/>
    <w:multiLevelType w:val="hybridMultilevel"/>
    <w:tmpl w:val="CD1C3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D007E"/>
    <w:multiLevelType w:val="hybridMultilevel"/>
    <w:tmpl w:val="18C4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473CE"/>
    <w:multiLevelType w:val="hybridMultilevel"/>
    <w:tmpl w:val="0E727C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71370B"/>
    <w:multiLevelType w:val="hybridMultilevel"/>
    <w:tmpl w:val="C282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3B5E"/>
    <w:multiLevelType w:val="hybridMultilevel"/>
    <w:tmpl w:val="F1D06ACA"/>
    <w:lvl w:ilvl="0" w:tplc="8892C5E8">
      <w:numFmt w:val="bullet"/>
      <w:lvlText w:val="-"/>
      <w:lvlJc w:val="left"/>
      <w:pPr>
        <w:ind w:left="1080" w:hanging="360"/>
      </w:pPr>
      <w:rPr>
        <w:rFonts w:ascii="Calibri" w:eastAsiaTheme="minorHAnsi" w:hAnsi="Calibri" w:cstheme="minorHAns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776AFD"/>
    <w:multiLevelType w:val="hybridMultilevel"/>
    <w:tmpl w:val="59EAF27E"/>
    <w:lvl w:ilvl="0" w:tplc="8892C5E8">
      <w:numFmt w:val="bullet"/>
      <w:lvlText w:val="-"/>
      <w:lvlJc w:val="left"/>
      <w:pPr>
        <w:ind w:left="360" w:hanging="360"/>
      </w:pPr>
      <w:rPr>
        <w:rFonts w:ascii="Calibri" w:eastAsiaTheme="minorHAnsi" w:hAnsi="Calibri" w:cstheme="minorHAnsi"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F1E2206"/>
    <w:multiLevelType w:val="multilevel"/>
    <w:tmpl w:val="0BCA9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5424550"/>
    <w:multiLevelType w:val="hybridMultilevel"/>
    <w:tmpl w:val="A7D04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D5185"/>
    <w:multiLevelType w:val="hybridMultilevel"/>
    <w:tmpl w:val="7FBA9138"/>
    <w:lvl w:ilvl="0" w:tplc="C088C78A">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4"/>
  </w:num>
  <w:num w:numId="4">
    <w:abstractNumId w:val="23"/>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5"/>
  </w:num>
  <w:num w:numId="10">
    <w:abstractNumId w:val="22"/>
  </w:num>
  <w:num w:numId="11">
    <w:abstractNumId w:val="9"/>
  </w:num>
  <w:num w:numId="12">
    <w:abstractNumId w:val="11"/>
  </w:num>
  <w:num w:numId="13">
    <w:abstractNumId w:val="27"/>
  </w:num>
  <w:num w:numId="14">
    <w:abstractNumId w:val="28"/>
  </w:num>
  <w:num w:numId="15">
    <w:abstractNumId w:val="16"/>
  </w:num>
  <w:num w:numId="16">
    <w:abstractNumId w:val="0"/>
  </w:num>
  <w:num w:numId="17">
    <w:abstractNumId w:val="6"/>
  </w:num>
  <w:num w:numId="18">
    <w:abstractNumId w:val="20"/>
  </w:num>
  <w:num w:numId="19">
    <w:abstractNumId w:val="25"/>
  </w:num>
  <w:num w:numId="20">
    <w:abstractNumId w:val="13"/>
  </w:num>
  <w:num w:numId="21">
    <w:abstractNumId w:val="2"/>
  </w:num>
  <w:num w:numId="22">
    <w:abstractNumId w:val="26"/>
  </w:num>
  <w:num w:numId="23">
    <w:abstractNumId w:val="8"/>
  </w:num>
  <w:num w:numId="24">
    <w:abstractNumId w:val="24"/>
  </w:num>
  <w:num w:numId="25">
    <w:abstractNumId w:val="5"/>
  </w:num>
  <w:num w:numId="26">
    <w:abstractNumId w:val="12"/>
  </w:num>
  <w:num w:numId="27">
    <w:abstractNumId w:val="18"/>
  </w:num>
  <w:num w:numId="28">
    <w:abstractNumId w:val="17"/>
  </w:num>
  <w:num w:numId="29">
    <w:abstractNumId w:val="4"/>
  </w:num>
  <w:num w:numId="30">
    <w:abstractNumId w:val="10"/>
  </w:num>
  <w:num w:numId="31">
    <w:abstractNumId w:val="19"/>
  </w:num>
  <w:num w:numId="32">
    <w:abstractNumId w:val="21"/>
  </w:num>
  <w:num w:numId="33">
    <w:abstractNumId w:val="7"/>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6C"/>
    <w:rsid w:val="0001029A"/>
    <w:rsid w:val="00015252"/>
    <w:rsid w:val="000161F6"/>
    <w:rsid w:val="00041BDD"/>
    <w:rsid w:val="00076A02"/>
    <w:rsid w:val="00096BE5"/>
    <w:rsid w:val="000A0E7E"/>
    <w:rsid w:val="000A5751"/>
    <w:rsid w:val="000B0DC9"/>
    <w:rsid w:val="000C059D"/>
    <w:rsid w:val="000C3B37"/>
    <w:rsid w:val="000C6759"/>
    <w:rsid w:val="000E0D4D"/>
    <w:rsid w:val="000E4716"/>
    <w:rsid w:val="001052BC"/>
    <w:rsid w:val="00107DE6"/>
    <w:rsid w:val="00111EF9"/>
    <w:rsid w:val="001124A0"/>
    <w:rsid w:val="00113E8E"/>
    <w:rsid w:val="00134FAC"/>
    <w:rsid w:val="00142C6C"/>
    <w:rsid w:val="001D1E6D"/>
    <w:rsid w:val="001D5B9B"/>
    <w:rsid w:val="001D6851"/>
    <w:rsid w:val="001E3FFE"/>
    <w:rsid w:val="001E5757"/>
    <w:rsid w:val="001F4FC2"/>
    <w:rsid w:val="002229D7"/>
    <w:rsid w:val="0022340D"/>
    <w:rsid w:val="002327C5"/>
    <w:rsid w:val="00272AA0"/>
    <w:rsid w:val="002801B5"/>
    <w:rsid w:val="0028379C"/>
    <w:rsid w:val="0028692D"/>
    <w:rsid w:val="00291075"/>
    <w:rsid w:val="002B5184"/>
    <w:rsid w:val="002B6390"/>
    <w:rsid w:val="002C2A5B"/>
    <w:rsid w:val="002C766B"/>
    <w:rsid w:val="002D0198"/>
    <w:rsid w:val="002D55B1"/>
    <w:rsid w:val="002F0E77"/>
    <w:rsid w:val="002F456C"/>
    <w:rsid w:val="00305103"/>
    <w:rsid w:val="00305921"/>
    <w:rsid w:val="00306911"/>
    <w:rsid w:val="003213CB"/>
    <w:rsid w:val="003308C1"/>
    <w:rsid w:val="00334A2D"/>
    <w:rsid w:val="00352A98"/>
    <w:rsid w:val="00354729"/>
    <w:rsid w:val="00372200"/>
    <w:rsid w:val="0039413F"/>
    <w:rsid w:val="003A17E4"/>
    <w:rsid w:val="003A240C"/>
    <w:rsid w:val="003A2ABC"/>
    <w:rsid w:val="003C0B15"/>
    <w:rsid w:val="003C150F"/>
    <w:rsid w:val="003C505F"/>
    <w:rsid w:val="003E292F"/>
    <w:rsid w:val="003E3474"/>
    <w:rsid w:val="003E7B27"/>
    <w:rsid w:val="003F56DD"/>
    <w:rsid w:val="00401147"/>
    <w:rsid w:val="00404A3E"/>
    <w:rsid w:val="0041307E"/>
    <w:rsid w:val="004304DE"/>
    <w:rsid w:val="004553B1"/>
    <w:rsid w:val="0046114D"/>
    <w:rsid w:val="00462D3A"/>
    <w:rsid w:val="004668D1"/>
    <w:rsid w:val="004779E0"/>
    <w:rsid w:val="00483C2A"/>
    <w:rsid w:val="00506D7D"/>
    <w:rsid w:val="00513E1E"/>
    <w:rsid w:val="0052263D"/>
    <w:rsid w:val="005237DB"/>
    <w:rsid w:val="00534B52"/>
    <w:rsid w:val="005465F1"/>
    <w:rsid w:val="00556906"/>
    <w:rsid w:val="00562991"/>
    <w:rsid w:val="005710D0"/>
    <w:rsid w:val="00576B37"/>
    <w:rsid w:val="00590D73"/>
    <w:rsid w:val="005A46C0"/>
    <w:rsid w:val="005C1316"/>
    <w:rsid w:val="005C282E"/>
    <w:rsid w:val="005C2DC8"/>
    <w:rsid w:val="005D12D0"/>
    <w:rsid w:val="005E67E7"/>
    <w:rsid w:val="005F4BAF"/>
    <w:rsid w:val="005F7D10"/>
    <w:rsid w:val="00600DAF"/>
    <w:rsid w:val="0061566A"/>
    <w:rsid w:val="00623988"/>
    <w:rsid w:val="006254DB"/>
    <w:rsid w:val="00647635"/>
    <w:rsid w:val="00662891"/>
    <w:rsid w:val="00692A75"/>
    <w:rsid w:val="006B5D28"/>
    <w:rsid w:val="006D18C3"/>
    <w:rsid w:val="006E1D68"/>
    <w:rsid w:val="0070713A"/>
    <w:rsid w:val="00714A69"/>
    <w:rsid w:val="00720186"/>
    <w:rsid w:val="007267B3"/>
    <w:rsid w:val="00744824"/>
    <w:rsid w:val="0075332D"/>
    <w:rsid w:val="00757BB7"/>
    <w:rsid w:val="00783375"/>
    <w:rsid w:val="00786F21"/>
    <w:rsid w:val="007B01AD"/>
    <w:rsid w:val="007E08FB"/>
    <w:rsid w:val="007E0EAA"/>
    <w:rsid w:val="007E446B"/>
    <w:rsid w:val="00830F46"/>
    <w:rsid w:val="00834916"/>
    <w:rsid w:val="008365ED"/>
    <w:rsid w:val="008374A3"/>
    <w:rsid w:val="0085327B"/>
    <w:rsid w:val="0085405E"/>
    <w:rsid w:val="00874F6D"/>
    <w:rsid w:val="00881654"/>
    <w:rsid w:val="00896DE7"/>
    <w:rsid w:val="008A70DE"/>
    <w:rsid w:val="008C3C83"/>
    <w:rsid w:val="008C59E6"/>
    <w:rsid w:val="008F471D"/>
    <w:rsid w:val="0090562D"/>
    <w:rsid w:val="009162D1"/>
    <w:rsid w:val="00921594"/>
    <w:rsid w:val="00926F68"/>
    <w:rsid w:val="0093176C"/>
    <w:rsid w:val="0093322A"/>
    <w:rsid w:val="009478B4"/>
    <w:rsid w:val="00977FDA"/>
    <w:rsid w:val="009A3DEE"/>
    <w:rsid w:val="009A77E1"/>
    <w:rsid w:val="009C47CD"/>
    <w:rsid w:val="009D2C92"/>
    <w:rsid w:val="009D6749"/>
    <w:rsid w:val="009D7528"/>
    <w:rsid w:val="009E4358"/>
    <w:rsid w:val="00A00196"/>
    <w:rsid w:val="00A25AA0"/>
    <w:rsid w:val="00A318AE"/>
    <w:rsid w:val="00A33F00"/>
    <w:rsid w:val="00A37D84"/>
    <w:rsid w:val="00A50C3B"/>
    <w:rsid w:val="00AA5140"/>
    <w:rsid w:val="00AB0ED7"/>
    <w:rsid w:val="00AD748E"/>
    <w:rsid w:val="00AF7A0E"/>
    <w:rsid w:val="00AF7AC3"/>
    <w:rsid w:val="00B1074B"/>
    <w:rsid w:val="00B14EA4"/>
    <w:rsid w:val="00B17679"/>
    <w:rsid w:val="00B2159C"/>
    <w:rsid w:val="00B23C84"/>
    <w:rsid w:val="00B2730A"/>
    <w:rsid w:val="00B31756"/>
    <w:rsid w:val="00B42A25"/>
    <w:rsid w:val="00B436C8"/>
    <w:rsid w:val="00B43BB1"/>
    <w:rsid w:val="00B65756"/>
    <w:rsid w:val="00B67D10"/>
    <w:rsid w:val="00B72665"/>
    <w:rsid w:val="00B769A7"/>
    <w:rsid w:val="00B76C12"/>
    <w:rsid w:val="00B82BE6"/>
    <w:rsid w:val="00B86465"/>
    <w:rsid w:val="00B900CA"/>
    <w:rsid w:val="00B91B0A"/>
    <w:rsid w:val="00BA7E6C"/>
    <w:rsid w:val="00BB3008"/>
    <w:rsid w:val="00BC0F71"/>
    <w:rsid w:val="00BC452D"/>
    <w:rsid w:val="00BD36C6"/>
    <w:rsid w:val="00BD4B65"/>
    <w:rsid w:val="00BE55C1"/>
    <w:rsid w:val="00C11E94"/>
    <w:rsid w:val="00C174C2"/>
    <w:rsid w:val="00C25AA3"/>
    <w:rsid w:val="00C41F7B"/>
    <w:rsid w:val="00C4501B"/>
    <w:rsid w:val="00C57358"/>
    <w:rsid w:val="00C80A14"/>
    <w:rsid w:val="00C83D71"/>
    <w:rsid w:val="00C95796"/>
    <w:rsid w:val="00CB2099"/>
    <w:rsid w:val="00CC051B"/>
    <w:rsid w:val="00CC2C2E"/>
    <w:rsid w:val="00CC475D"/>
    <w:rsid w:val="00CE5876"/>
    <w:rsid w:val="00CF3D1A"/>
    <w:rsid w:val="00CF4505"/>
    <w:rsid w:val="00D02CB8"/>
    <w:rsid w:val="00D03AA2"/>
    <w:rsid w:val="00D165D4"/>
    <w:rsid w:val="00D202AB"/>
    <w:rsid w:val="00D217D8"/>
    <w:rsid w:val="00D2699F"/>
    <w:rsid w:val="00D26CC1"/>
    <w:rsid w:val="00D34301"/>
    <w:rsid w:val="00D645F8"/>
    <w:rsid w:val="00D766C3"/>
    <w:rsid w:val="00D805E5"/>
    <w:rsid w:val="00D86D50"/>
    <w:rsid w:val="00D93359"/>
    <w:rsid w:val="00DA47B5"/>
    <w:rsid w:val="00DB72BA"/>
    <w:rsid w:val="00DB7DD0"/>
    <w:rsid w:val="00DC7DF2"/>
    <w:rsid w:val="00E123F1"/>
    <w:rsid w:val="00E20E52"/>
    <w:rsid w:val="00E21927"/>
    <w:rsid w:val="00E233B2"/>
    <w:rsid w:val="00E4467D"/>
    <w:rsid w:val="00E61D35"/>
    <w:rsid w:val="00E637F1"/>
    <w:rsid w:val="00E7430E"/>
    <w:rsid w:val="00E8223F"/>
    <w:rsid w:val="00E865D9"/>
    <w:rsid w:val="00EA5337"/>
    <w:rsid w:val="00EA53FD"/>
    <w:rsid w:val="00EB01BD"/>
    <w:rsid w:val="00EB20B8"/>
    <w:rsid w:val="00EC32B7"/>
    <w:rsid w:val="00EC3926"/>
    <w:rsid w:val="00EE6820"/>
    <w:rsid w:val="00EF7D65"/>
    <w:rsid w:val="00F05C8F"/>
    <w:rsid w:val="00F128C5"/>
    <w:rsid w:val="00F14F56"/>
    <w:rsid w:val="00F30C37"/>
    <w:rsid w:val="00F4447F"/>
    <w:rsid w:val="00F466EF"/>
    <w:rsid w:val="00F50C87"/>
    <w:rsid w:val="00F6155A"/>
    <w:rsid w:val="00F82870"/>
    <w:rsid w:val="00F84701"/>
    <w:rsid w:val="00FA12DD"/>
    <w:rsid w:val="00FA16A8"/>
    <w:rsid w:val="00FC0AEF"/>
    <w:rsid w:val="00FC30F4"/>
    <w:rsid w:val="00FE2EDE"/>
    <w:rsid w:val="00FE4E3F"/>
    <w:rsid w:val="00FE7C35"/>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E66D0937-17A3-431C-B719-F57FB6A7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s-E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0A"/>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0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RHeading">
    <w:name w:val="LWR Heading"/>
    <w:basedOn w:val="Header"/>
    <w:rsid w:val="003C505F"/>
    <w:pPr>
      <w:tabs>
        <w:tab w:val="clear" w:pos="4680"/>
        <w:tab w:val="clear" w:pos="9360"/>
        <w:tab w:val="center" w:pos="4320"/>
        <w:tab w:val="right" w:pos="8640"/>
      </w:tabs>
    </w:pPr>
    <w:rPr>
      <w:rFonts w:ascii="Franklin Gothic Demi" w:eastAsia="Times New Roman" w:hAnsi="Franklin Gothic Demi" w:cs="Times New Roman"/>
      <w:caps/>
      <w:szCs w:val="24"/>
    </w:rPr>
  </w:style>
  <w:style w:type="table" w:styleId="TableList2">
    <w:name w:val="Table List 2"/>
    <w:basedOn w:val="TableNormal"/>
    <w:rsid w:val="003C505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C5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5F"/>
    <w:rPr>
      <w:lang w:val="en-US"/>
    </w:rPr>
  </w:style>
  <w:style w:type="paragraph" w:styleId="BalloonText">
    <w:name w:val="Balloon Text"/>
    <w:basedOn w:val="Normal"/>
    <w:link w:val="BalloonTextChar"/>
    <w:uiPriority w:val="99"/>
    <w:semiHidden/>
    <w:unhideWhenUsed/>
    <w:rsid w:val="003C505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C505F"/>
    <w:rPr>
      <w:rFonts w:ascii="Tahoma" w:hAnsi="Tahoma" w:cs="Angsana New"/>
      <w:sz w:val="16"/>
      <w:szCs w:val="20"/>
      <w:lang w:val="en-US"/>
    </w:rPr>
  </w:style>
  <w:style w:type="paragraph" w:styleId="ListParagraph">
    <w:name w:val="List Paragraph"/>
    <w:basedOn w:val="Normal"/>
    <w:uiPriority w:val="34"/>
    <w:qFormat/>
    <w:rsid w:val="00BC452D"/>
    <w:pPr>
      <w:ind w:left="720"/>
      <w:contextualSpacing/>
    </w:pPr>
  </w:style>
  <w:style w:type="paragraph" w:styleId="Footer">
    <w:name w:val="footer"/>
    <w:basedOn w:val="Normal"/>
    <w:link w:val="FooterChar"/>
    <w:uiPriority w:val="99"/>
    <w:unhideWhenUsed/>
    <w:rsid w:val="0033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C1"/>
    <w:rPr>
      <w:lang w:val="en-US"/>
    </w:rPr>
  </w:style>
  <w:style w:type="table" w:customStyle="1" w:styleId="TableList21">
    <w:name w:val="Table List 21"/>
    <w:basedOn w:val="TableNormal"/>
    <w:next w:val="TableList2"/>
    <w:rsid w:val="00FC0AE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B2730A"/>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DD0"/>
    <w:rPr>
      <w:sz w:val="16"/>
      <w:szCs w:val="16"/>
    </w:rPr>
  </w:style>
  <w:style w:type="paragraph" w:styleId="CommentText">
    <w:name w:val="annotation text"/>
    <w:basedOn w:val="Normal"/>
    <w:link w:val="CommentTextChar"/>
    <w:uiPriority w:val="99"/>
    <w:semiHidden/>
    <w:unhideWhenUsed/>
    <w:rsid w:val="00DB7DD0"/>
    <w:pPr>
      <w:spacing w:line="240" w:lineRule="auto"/>
    </w:pPr>
    <w:rPr>
      <w:sz w:val="20"/>
      <w:szCs w:val="20"/>
    </w:rPr>
  </w:style>
  <w:style w:type="character" w:customStyle="1" w:styleId="CommentTextChar">
    <w:name w:val="Comment Text Char"/>
    <w:basedOn w:val="DefaultParagraphFont"/>
    <w:link w:val="CommentText"/>
    <w:uiPriority w:val="99"/>
    <w:semiHidden/>
    <w:rsid w:val="00DB7DD0"/>
    <w:rPr>
      <w:sz w:val="20"/>
      <w:szCs w:val="20"/>
      <w:lang w:val="en-US" w:bidi="ar-SA"/>
    </w:rPr>
  </w:style>
  <w:style w:type="paragraph" w:styleId="CommentSubject">
    <w:name w:val="annotation subject"/>
    <w:basedOn w:val="CommentText"/>
    <w:next w:val="CommentText"/>
    <w:link w:val="CommentSubjectChar"/>
    <w:uiPriority w:val="99"/>
    <w:semiHidden/>
    <w:unhideWhenUsed/>
    <w:rsid w:val="00DB7DD0"/>
    <w:rPr>
      <w:b/>
      <w:bCs/>
    </w:rPr>
  </w:style>
  <w:style w:type="character" w:customStyle="1" w:styleId="CommentSubjectChar">
    <w:name w:val="Comment Subject Char"/>
    <w:basedOn w:val="CommentTextChar"/>
    <w:link w:val="CommentSubject"/>
    <w:uiPriority w:val="99"/>
    <w:semiHidden/>
    <w:rsid w:val="00DB7DD0"/>
    <w:rPr>
      <w:b/>
      <w:bCs/>
      <w:sz w:val="20"/>
      <w:szCs w:val="20"/>
      <w:lang w:val="en-US" w:bidi="ar-SA"/>
    </w:rPr>
  </w:style>
  <w:style w:type="paragraph" w:styleId="EndnoteText">
    <w:name w:val="endnote text"/>
    <w:basedOn w:val="Normal"/>
    <w:link w:val="EndnoteTextChar"/>
    <w:uiPriority w:val="99"/>
    <w:semiHidden/>
    <w:unhideWhenUsed/>
    <w:rsid w:val="00107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7DE6"/>
    <w:rPr>
      <w:sz w:val="20"/>
      <w:szCs w:val="20"/>
      <w:lang w:val="en-US" w:bidi="ar-SA"/>
    </w:rPr>
  </w:style>
  <w:style w:type="character" w:styleId="EndnoteReference">
    <w:name w:val="endnote reference"/>
    <w:basedOn w:val="DefaultParagraphFont"/>
    <w:uiPriority w:val="99"/>
    <w:semiHidden/>
    <w:unhideWhenUsed/>
    <w:rsid w:val="00107DE6"/>
    <w:rPr>
      <w:vertAlign w:val="superscript"/>
    </w:rPr>
  </w:style>
  <w:style w:type="paragraph" w:styleId="FootnoteText">
    <w:name w:val="footnote text"/>
    <w:basedOn w:val="Normal"/>
    <w:link w:val="FootnoteTextChar"/>
    <w:uiPriority w:val="99"/>
    <w:semiHidden/>
    <w:unhideWhenUsed/>
    <w:rsid w:val="008365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5ED"/>
    <w:rPr>
      <w:sz w:val="20"/>
      <w:szCs w:val="20"/>
      <w:lang w:val="en-US" w:bidi="ar-SA"/>
    </w:rPr>
  </w:style>
  <w:style w:type="character" w:styleId="FootnoteReference">
    <w:name w:val="footnote reference"/>
    <w:basedOn w:val="DefaultParagraphFont"/>
    <w:uiPriority w:val="99"/>
    <w:semiHidden/>
    <w:unhideWhenUsed/>
    <w:rsid w:val="008365ED"/>
    <w:rPr>
      <w:vertAlign w:val="superscript"/>
    </w:rPr>
  </w:style>
  <w:style w:type="character" w:styleId="Hyperlink">
    <w:name w:val="Hyperlink"/>
    <w:basedOn w:val="DefaultParagraphFont"/>
    <w:uiPriority w:val="99"/>
    <w:unhideWhenUsed/>
    <w:rsid w:val="009A3DEE"/>
    <w:rPr>
      <w:color w:val="0000FF" w:themeColor="hyperlink"/>
      <w:u w:val="single"/>
    </w:rPr>
  </w:style>
  <w:style w:type="paragraph" w:styleId="Revision">
    <w:name w:val="Revision"/>
    <w:hidden/>
    <w:uiPriority w:val="99"/>
    <w:semiHidden/>
    <w:rsid w:val="001D5B9B"/>
    <w:pPr>
      <w:spacing w:after="0" w:line="240" w:lineRule="auto"/>
    </w:pPr>
    <w:rPr>
      <w:szCs w:val="22"/>
      <w:lang w:val="en-US" w:bidi="ar-SA"/>
    </w:rPr>
  </w:style>
  <w:style w:type="character" w:styleId="FollowedHyperlink">
    <w:name w:val="FollowedHyperlink"/>
    <w:basedOn w:val="DefaultParagraphFont"/>
    <w:uiPriority w:val="99"/>
    <w:semiHidden/>
    <w:unhideWhenUsed/>
    <w:rsid w:val="001124A0"/>
    <w:rPr>
      <w:color w:val="800080" w:themeColor="followedHyperlink"/>
      <w:u w:val="single"/>
    </w:rPr>
  </w:style>
  <w:style w:type="paragraph" w:styleId="NormalWeb">
    <w:name w:val="Normal (Web)"/>
    <w:basedOn w:val="Normal"/>
    <w:uiPriority w:val="99"/>
    <w:semiHidden/>
    <w:unhideWhenUsed/>
    <w:rsid w:val="00EE68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63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eedsassessment.org/" TargetMode="External"/><Relationship Id="rId4" Type="http://schemas.openxmlformats.org/officeDocument/2006/relationships/styles" Target="styles.xml"/><Relationship Id="rId9" Type="http://schemas.openxmlformats.org/officeDocument/2006/relationships/hyperlink" Target="http://goo.gl/atqmr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C2D4-6207-47E4-A06B-520C85F3E901}">
  <ds:schemaRefs>
    <ds:schemaRef ds:uri="http://schemas.openxmlformats.org/officeDocument/2006/bibliography"/>
  </ds:schemaRefs>
</ds:datastoreItem>
</file>

<file path=customXml/itemProps2.xml><?xml version="1.0" encoding="utf-8"?>
<ds:datastoreItem xmlns:ds="http://schemas.openxmlformats.org/officeDocument/2006/customXml" ds:itemID="{6D3350B8-05E0-4FBC-BEBD-2ABA2BE4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Schiche</dc:creator>
  <cp:lastModifiedBy>Wendi Bevins</cp:lastModifiedBy>
  <cp:revision>4</cp:revision>
  <cp:lastPrinted>2012-10-05T19:07:00Z</cp:lastPrinted>
  <dcterms:created xsi:type="dcterms:W3CDTF">2016-07-29T15:26:00Z</dcterms:created>
  <dcterms:modified xsi:type="dcterms:W3CDTF">2016-07-29T15:28:00Z</dcterms:modified>
</cp:coreProperties>
</file>